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35C536AB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BF6574">
        <w:t>2</w:t>
      </w:r>
      <w:r w:rsidR="00E97F17">
        <w:t>bis</w:t>
      </w:r>
      <w:r w:rsidR="00F72F4F">
        <w:tab/>
      </w:r>
      <w:r w:rsidR="00F72F4F">
        <w:tab/>
      </w:r>
      <w:r w:rsidR="00F25627" w:rsidRPr="00F25627">
        <w:t>R4-2415330</w:t>
      </w:r>
    </w:p>
    <w:p w14:paraId="4A8CACC6" w14:textId="68E599C5" w:rsidR="00F72F4F" w:rsidRPr="00FD166F" w:rsidRDefault="00E97F17" w:rsidP="00F72F4F">
      <w:pPr>
        <w:pStyle w:val="CH"/>
        <w:tabs>
          <w:tab w:val="clear" w:pos="7920"/>
        </w:tabs>
        <w:rPr>
          <w:b w:val="0"/>
        </w:rPr>
      </w:pPr>
      <w:r>
        <w:t>Hefei</w:t>
      </w:r>
      <w:r w:rsidR="00727A5D">
        <w:t xml:space="preserve">, </w:t>
      </w:r>
      <w:r>
        <w:t>China</w:t>
      </w:r>
      <w:r w:rsidR="00727A5D">
        <w:t xml:space="preserve">, </w:t>
      </w:r>
      <w:r>
        <w:t>October</w:t>
      </w:r>
      <w:r w:rsidR="00727A5D" w:rsidRPr="00A14D3F">
        <w:t xml:space="preserve"> </w:t>
      </w:r>
      <w:r w:rsidR="00727A5D">
        <w:t>1</w:t>
      </w:r>
      <w:r>
        <w:t>4</w:t>
      </w:r>
      <w:r w:rsidR="00727A5D">
        <w:rPr>
          <w:vertAlign w:val="superscript"/>
        </w:rPr>
        <w:t>th</w:t>
      </w:r>
      <w:r w:rsidR="00727A5D" w:rsidRPr="00A14D3F">
        <w:t xml:space="preserve"> – </w:t>
      </w:r>
      <w:r>
        <w:t>18</w:t>
      </w:r>
      <w:r>
        <w:rPr>
          <w:vertAlign w:val="superscript"/>
        </w:rPr>
        <w:t>th</w:t>
      </w:r>
      <w:r w:rsidR="00727A5D" w:rsidRPr="00A14D3F">
        <w:t>, 202</w:t>
      </w:r>
      <w:r w:rsidR="00727A5D"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3D924F5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121E89">
        <w:t>6.1.1.1.1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669D3443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9E447F" w:rsidRPr="009E447F">
        <w:t>On Rel-19 HPUE CA/DC SAR compliance consideration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69990B1B" w:rsidR="00104BC6" w:rsidRDefault="00104BC6" w:rsidP="00D309CC">
      <w:pPr>
        <w:pStyle w:val="CH"/>
      </w:pPr>
      <w:r>
        <w:t>WI/SI:</w:t>
      </w:r>
      <w:r>
        <w:tab/>
      </w:r>
      <w:r w:rsidR="00401FA4" w:rsidRPr="00401FA4">
        <w:rPr>
          <w:lang w:val="en-GB"/>
        </w:rPr>
        <w:t>NR_ENDC_RF_Ph4-Core</w:t>
      </w:r>
    </w:p>
    <w:p w14:paraId="6C6D1281" w14:textId="1174F91B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01FA4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32824C0C" w14:textId="224D5F17" w:rsidR="00403FF3" w:rsidRDefault="00620C82" w:rsidP="002B20B0">
      <w:pPr>
        <w:spacing w:after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B504F7" w:rsidRPr="00B504F7">
        <w:rPr>
          <w:rFonts w:ascii="Arial" w:hAnsi="Arial" w:cs="Arial"/>
          <w:sz w:val="20"/>
          <w:szCs w:val="20"/>
        </w:rPr>
        <w:t xml:space="preserve">Rel-19 RAN4 non-spectrum WID/SID package </w:t>
      </w:r>
      <w:r w:rsidR="00B504F7">
        <w:rPr>
          <w:rFonts w:ascii="Arial" w:hAnsi="Arial" w:cs="Arial"/>
          <w:sz w:val="20"/>
          <w:szCs w:val="20"/>
        </w:rPr>
        <w:t>has been</w:t>
      </w:r>
      <w:r w:rsidR="00B504F7" w:rsidRPr="00B504F7">
        <w:rPr>
          <w:rFonts w:ascii="Arial" w:hAnsi="Arial" w:cs="Arial"/>
          <w:sz w:val="20"/>
          <w:szCs w:val="20"/>
        </w:rPr>
        <w:t xml:space="preserve"> approved in RAN #103 meeting</w:t>
      </w:r>
      <w:r w:rsidR="00DE0987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In consideration</w:t>
      </w:r>
      <w:r w:rsidR="003869F7" w:rsidRPr="003869F7">
        <w:rPr>
          <w:rFonts w:ascii="Arial" w:hAnsi="Arial" w:cs="Arial"/>
          <w:sz w:val="20"/>
          <w:szCs w:val="20"/>
        </w:rPr>
        <w:t xml:space="preserve"> that the uplink coverage is crucial for 5G and 5G-adavanced roll-out</w:t>
      </w:r>
      <w:r w:rsidR="00DE0987">
        <w:rPr>
          <w:rFonts w:ascii="Arial" w:hAnsi="Arial" w:cs="Arial"/>
          <w:sz w:val="20"/>
          <w:szCs w:val="20"/>
        </w:rPr>
        <w:t xml:space="preserve"> </w:t>
      </w:r>
      <w:r w:rsidR="003869F7">
        <w:rPr>
          <w:rFonts w:ascii="Arial" w:hAnsi="Arial" w:cs="Arial"/>
          <w:sz w:val="20"/>
          <w:szCs w:val="20"/>
        </w:rPr>
        <w:t xml:space="preserve">and the </w:t>
      </w:r>
      <w:r w:rsidR="00403FF3">
        <w:rPr>
          <w:rFonts w:ascii="Arial" w:hAnsi="Arial" w:cs="Arial"/>
          <w:sz w:val="20"/>
          <w:szCs w:val="20"/>
        </w:rPr>
        <w:t xml:space="preserve">continued strong interests from operators in higher UE maximum output power such as PC1.5 for their </w:t>
      </w:r>
      <w:r w:rsidR="00B504F7">
        <w:rPr>
          <w:rFonts w:ascii="Arial" w:hAnsi="Arial" w:cs="Arial"/>
          <w:sz w:val="20"/>
          <w:szCs w:val="20"/>
        </w:rPr>
        <w:t xml:space="preserve">band </w:t>
      </w:r>
      <w:r w:rsidR="00403FF3">
        <w:rPr>
          <w:rFonts w:ascii="Arial" w:hAnsi="Arial" w:cs="Arial"/>
          <w:sz w:val="20"/>
          <w:szCs w:val="20"/>
        </w:rPr>
        <w:t>combinations, o</w:t>
      </w:r>
      <w:r w:rsidR="00403FF3" w:rsidRPr="00403FF3">
        <w:rPr>
          <w:rFonts w:ascii="Arial" w:hAnsi="Arial" w:cs="Arial"/>
          <w:sz w:val="20"/>
          <w:szCs w:val="20"/>
        </w:rPr>
        <w:t>ne of the key objectives under the</w:t>
      </w:r>
      <w:r w:rsidR="00403FF3">
        <w:rPr>
          <w:rFonts w:ascii="Arial" w:hAnsi="Arial" w:cs="Arial"/>
          <w:sz w:val="20"/>
          <w:szCs w:val="20"/>
        </w:rPr>
        <w:t xml:space="preserve"> new Rel-19</w:t>
      </w:r>
      <w:r w:rsidR="00403FF3" w:rsidRPr="00403FF3">
        <w:rPr>
          <w:rFonts w:ascii="Arial" w:hAnsi="Arial" w:cs="Arial"/>
          <w:sz w:val="20"/>
          <w:szCs w:val="20"/>
        </w:rPr>
        <w:t xml:space="preserve"> “UE RF enhancements for NR FR1/FR2 and EN-DC, Phase 4” work item </w:t>
      </w:r>
      <w:r w:rsidR="00B9016C">
        <w:rPr>
          <w:rFonts w:ascii="Arial" w:hAnsi="Arial" w:cs="Arial"/>
          <w:sz w:val="20"/>
          <w:szCs w:val="20"/>
        </w:rPr>
        <w:t>[</w:t>
      </w:r>
      <w:r w:rsidR="00B504F7">
        <w:rPr>
          <w:rFonts w:ascii="Arial" w:hAnsi="Arial" w:cs="Arial"/>
          <w:sz w:val="20"/>
          <w:szCs w:val="20"/>
        </w:rPr>
        <w:t>1</w:t>
      </w:r>
      <w:r w:rsidR="00B9016C">
        <w:rPr>
          <w:rFonts w:ascii="Arial" w:hAnsi="Arial" w:cs="Arial"/>
          <w:sz w:val="20"/>
          <w:szCs w:val="20"/>
        </w:rPr>
        <w:t xml:space="preserve">] </w:t>
      </w:r>
      <w:r w:rsidR="00403FF3" w:rsidRPr="00403FF3">
        <w:rPr>
          <w:rFonts w:ascii="Arial" w:hAnsi="Arial" w:cs="Arial"/>
          <w:sz w:val="20"/>
          <w:szCs w:val="20"/>
        </w:rPr>
        <w:t>is to specify the generic requirements of HPUE for NR uplink CA in FR1 and EN-DC with NR FR1 bands</w:t>
      </w:r>
      <w:r w:rsidR="00403FF3">
        <w:rPr>
          <w:rFonts w:ascii="Arial" w:hAnsi="Arial" w:cs="Arial"/>
          <w:sz w:val="20"/>
          <w:szCs w:val="20"/>
        </w:rPr>
        <w:t xml:space="preserve"> where the features include,</w:t>
      </w:r>
    </w:p>
    <w:p w14:paraId="3CCD6A2E" w14:textId="77777777" w:rsidR="002B20B0" w:rsidRP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PC1.5 for intra-band contiguous UL CA with and without UL MIMO </w:t>
      </w:r>
    </w:p>
    <w:p w14:paraId="2F6F4E7D" w14:textId="320F19A6" w:rsidR="002B20B0" w:rsidRPr="002B20B0" w:rsidRDefault="00EC14B1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PC1.5 </w:t>
      </w:r>
      <w:r w:rsidR="002B20B0" w:rsidRPr="002B20B0">
        <w:rPr>
          <w:rFonts w:ascii="Arial" w:hAnsi="Arial" w:cs="Arial"/>
          <w:sz w:val="20"/>
          <w:szCs w:val="20"/>
        </w:rPr>
        <w:t>Intra-band non-contiguous UL CA without UL MIMO</w:t>
      </w:r>
    </w:p>
    <w:p w14:paraId="5C22DAD7" w14:textId="77777777" w:rsidR="002B20B0" w:rsidRP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>PC1.5 2-band inter-band UL CA with 2Tx or 3Tx for handheld UE and FWA</w:t>
      </w:r>
    </w:p>
    <w:p w14:paraId="5551249C" w14:textId="77777777" w:rsid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>PC2 and PC1.5 2-band inter-band EN-DC with 2Tx or 3Tx for handheld UE and FWA UE</w:t>
      </w:r>
    </w:p>
    <w:p w14:paraId="798B9BF0" w14:textId="2D94E7C6" w:rsidR="002B20B0" w:rsidRDefault="002B20B0" w:rsidP="002B20B0">
      <w:pPr>
        <w:numPr>
          <w:ilvl w:val="2"/>
          <w:numId w:val="30"/>
        </w:numPr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Increasing UE transmission power limit up to the sum of maximum output power per band for NR inter-band </w:t>
      </w:r>
      <w:r w:rsidR="00D47831">
        <w:rPr>
          <w:rFonts w:ascii="Arial" w:hAnsi="Arial" w:cs="Arial"/>
          <w:sz w:val="20"/>
          <w:szCs w:val="20"/>
        </w:rPr>
        <w:t xml:space="preserve">UL </w:t>
      </w:r>
      <w:r w:rsidRPr="002B20B0">
        <w:rPr>
          <w:rFonts w:ascii="Arial" w:hAnsi="Arial" w:cs="Arial"/>
          <w:sz w:val="20"/>
          <w:szCs w:val="20"/>
        </w:rPr>
        <w:t>CA and EN-DC HPUE</w:t>
      </w:r>
    </w:p>
    <w:p w14:paraId="215CC401" w14:textId="77777777" w:rsidR="002B20B0" w:rsidRDefault="008A07D9" w:rsidP="002B20B0">
      <w:pPr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 </w:t>
      </w:r>
    </w:p>
    <w:p w14:paraId="005183B1" w14:textId="0C60BDE4" w:rsidR="009B4165" w:rsidRDefault="00620C82" w:rsidP="00A117D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last RAN4 meeting, companies had provided their </w:t>
      </w:r>
      <w:r w:rsidR="00BF6574">
        <w:rPr>
          <w:rFonts w:ascii="Arial" w:hAnsi="Arial" w:cs="Arial"/>
          <w:sz w:val="20"/>
          <w:szCs w:val="20"/>
        </w:rPr>
        <w:t>further</w:t>
      </w:r>
      <w:r>
        <w:rPr>
          <w:rFonts w:ascii="Arial" w:hAnsi="Arial" w:cs="Arial"/>
          <w:sz w:val="20"/>
          <w:szCs w:val="20"/>
        </w:rPr>
        <w:t xml:space="preserve"> views on the respective features above where the </w:t>
      </w:r>
      <w:r w:rsidR="00E97F17">
        <w:rPr>
          <w:rFonts w:ascii="Arial" w:hAnsi="Arial" w:cs="Arial"/>
          <w:sz w:val="20"/>
          <w:szCs w:val="20"/>
        </w:rPr>
        <w:t>additional agreements</w:t>
      </w:r>
      <w:r>
        <w:rPr>
          <w:rFonts w:ascii="Arial" w:hAnsi="Arial" w:cs="Arial"/>
          <w:sz w:val="20"/>
          <w:szCs w:val="20"/>
        </w:rPr>
        <w:t xml:space="preserve"> were </w:t>
      </w:r>
      <w:r w:rsidR="00E97F17">
        <w:rPr>
          <w:rFonts w:ascii="Arial" w:hAnsi="Arial" w:cs="Arial"/>
          <w:sz w:val="20"/>
          <w:szCs w:val="20"/>
        </w:rPr>
        <w:t>captured</w:t>
      </w:r>
      <w:r>
        <w:rPr>
          <w:rFonts w:ascii="Arial" w:hAnsi="Arial" w:cs="Arial"/>
          <w:sz w:val="20"/>
          <w:szCs w:val="20"/>
        </w:rPr>
        <w:t xml:space="preserve"> </w:t>
      </w:r>
      <w:r w:rsidR="00E97F17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</w:t>
      </w:r>
      <w:r w:rsidR="00E97F17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approved </w:t>
      </w:r>
      <w:r w:rsidR="00BF6574">
        <w:rPr>
          <w:rFonts w:ascii="Arial" w:hAnsi="Arial" w:cs="Arial"/>
          <w:sz w:val="20"/>
          <w:szCs w:val="20"/>
        </w:rPr>
        <w:t>“</w:t>
      </w:r>
      <w:r w:rsidR="00E97F17" w:rsidRPr="00E97F17">
        <w:rPr>
          <w:rFonts w:ascii="Arial" w:hAnsi="Arial" w:cs="Arial"/>
          <w:sz w:val="20"/>
          <w:szCs w:val="20"/>
        </w:rPr>
        <w:t>WF on HPUE for CA in TN</w:t>
      </w:r>
      <w:r w:rsidR="00B0024C">
        <w:rPr>
          <w:rFonts w:ascii="Arial" w:hAnsi="Arial" w:cs="Arial"/>
          <w:sz w:val="20"/>
          <w:szCs w:val="20"/>
        </w:rPr>
        <w:t>” [2].</w:t>
      </w:r>
      <w:r w:rsidR="00727A5D">
        <w:rPr>
          <w:rFonts w:ascii="Arial" w:hAnsi="Arial" w:cs="Arial"/>
          <w:sz w:val="20"/>
          <w:szCs w:val="20"/>
        </w:rPr>
        <w:t xml:space="preserve"> </w:t>
      </w:r>
      <w:r w:rsidR="00FE5058">
        <w:rPr>
          <w:rFonts w:ascii="Arial" w:hAnsi="Arial" w:cs="Arial"/>
          <w:sz w:val="20"/>
          <w:szCs w:val="20"/>
        </w:rPr>
        <w:t>On the SAR compliance aspect, there were whopping 9 proposals where most of them are focusing on UL duty-cycle approach</w:t>
      </w:r>
      <w:r w:rsidR="00F664DB">
        <w:rPr>
          <w:rFonts w:ascii="Arial" w:hAnsi="Arial" w:cs="Arial"/>
          <w:sz w:val="20"/>
          <w:szCs w:val="20"/>
        </w:rPr>
        <w:t xml:space="preserve"> for different UL power configurations.</w:t>
      </w:r>
      <w:r w:rsidR="00FE5058">
        <w:rPr>
          <w:rFonts w:ascii="Arial" w:hAnsi="Arial" w:cs="Arial"/>
          <w:sz w:val="20"/>
          <w:szCs w:val="20"/>
        </w:rPr>
        <w:t xml:space="preserve">   </w:t>
      </w:r>
      <w:r w:rsidR="00745FCD">
        <w:rPr>
          <w:rFonts w:ascii="Arial" w:hAnsi="Arial" w:cs="Arial"/>
          <w:sz w:val="20"/>
          <w:szCs w:val="20"/>
        </w:rPr>
        <w:t xml:space="preserve">  </w:t>
      </w:r>
      <w:r w:rsidR="00B54007">
        <w:rPr>
          <w:rFonts w:ascii="Arial" w:hAnsi="Arial" w:cs="Arial"/>
          <w:sz w:val="20"/>
          <w:szCs w:val="20"/>
        </w:rPr>
        <w:t xml:space="preserve">   </w:t>
      </w:r>
    </w:p>
    <w:p w14:paraId="750D3A2C" w14:textId="77777777" w:rsidR="009B4165" w:rsidRDefault="009B4165" w:rsidP="009B4165">
      <w:pPr>
        <w:jc w:val="both"/>
        <w:rPr>
          <w:rFonts w:ascii="Arial" w:hAnsi="Arial" w:cs="Arial"/>
          <w:sz w:val="20"/>
          <w:szCs w:val="20"/>
        </w:rPr>
      </w:pPr>
    </w:p>
    <w:p w14:paraId="06E92CC7" w14:textId="4E6DA077" w:rsidR="008E7986" w:rsidRPr="002B20B0" w:rsidRDefault="002B11CC" w:rsidP="00A117D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</w:t>
      </w:r>
      <w:r w:rsidR="009B4165">
        <w:rPr>
          <w:rFonts w:ascii="Arial" w:hAnsi="Arial" w:cs="Arial"/>
          <w:sz w:val="20"/>
          <w:szCs w:val="20"/>
        </w:rPr>
        <w:t xml:space="preserve"> we share our views on </w:t>
      </w:r>
      <w:r w:rsidR="00745FCD">
        <w:rPr>
          <w:rFonts w:ascii="Arial" w:hAnsi="Arial" w:cs="Arial"/>
          <w:sz w:val="20"/>
          <w:szCs w:val="20"/>
        </w:rPr>
        <w:t xml:space="preserve">the </w:t>
      </w:r>
      <w:r w:rsidR="00F664DB">
        <w:rPr>
          <w:rFonts w:ascii="Arial" w:hAnsi="Arial" w:cs="Arial"/>
          <w:sz w:val="20"/>
          <w:szCs w:val="20"/>
        </w:rPr>
        <w:t xml:space="preserve">SAR compliance aspect for HPUE CA/DC combinations and propose not to further consider UL duty-cycle </w:t>
      </w:r>
      <w:r w:rsidR="00B80498">
        <w:rPr>
          <w:rFonts w:ascii="Arial" w:hAnsi="Arial" w:cs="Arial"/>
          <w:sz w:val="20"/>
          <w:szCs w:val="20"/>
        </w:rPr>
        <w:t>with</w:t>
      </w:r>
      <w:r w:rsidR="00F664DB">
        <w:rPr>
          <w:rFonts w:ascii="Arial" w:hAnsi="Arial" w:cs="Arial"/>
          <w:sz w:val="20"/>
          <w:szCs w:val="20"/>
        </w:rPr>
        <w:t xml:space="preserve"> ΔP</w:t>
      </w:r>
      <w:r w:rsidR="00F664DB" w:rsidRPr="00814317">
        <w:rPr>
          <w:rFonts w:ascii="Arial" w:hAnsi="Arial" w:cs="Arial"/>
          <w:sz w:val="20"/>
          <w:szCs w:val="20"/>
          <w:vertAlign w:val="subscript"/>
        </w:rPr>
        <w:t>PowerClass</w:t>
      </w:r>
      <w:r w:rsidR="00814317">
        <w:rPr>
          <w:rFonts w:ascii="Arial" w:hAnsi="Arial" w:cs="Arial"/>
          <w:sz w:val="20"/>
          <w:szCs w:val="20"/>
        </w:rPr>
        <w:t xml:space="preserve"> </w:t>
      </w:r>
      <w:r w:rsidR="00B80498">
        <w:rPr>
          <w:rFonts w:ascii="Arial" w:hAnsi="Arial" w:cs="Arial"/>
          <w:sz w:val="20"/>
          <w:szCs w:val="20"/>
        </w:rPr>
        <w:t xml:space="preserve">for SAR mitigation </w:t>
      </w:r>
      <w:r w:rsidR="00814317">
        <w:rPr>
          <w:rFonts w:ascii="Arial" w:hAnsi="Arial" w:cs="Arial"/>
          <w:sz w:val="20"/>
          <w:szCs w:val="20"/>
        </w:rPr>
        <w:t>from Rel-19 and going forward.</w:t>
      </w:r>
      <w:r w:rsidR="00F664DB">
        <w:rPr>
          <w:rFonts w:ascii="Arial" w:hAnsi="Arial" w:cs="Arial"/>
          <w:sz w:val="20"/>
          <w:szCs w:val="20"/>
        </w:rPr>
        <w:t xml:space="preserve">  </w:t>
      </w:r>
      <w:r w:rsidR="00745FCD">
        <w:rPr>
          <w:rFonts w:ascii="Arial" w:hAnsi="Arial" w:cs="Arial"/>
          <w:sz w:val="20"/>
          <w:szCs w:val="20"/>
        </w:rPr>
        <w:t xml:space="preserve">  </w:t>
      </w:r>
      <w:r w:rsidR="00271FFB">
        <w:rPr>
          <w:rFonts w:ascii="Arial" w:hAnsi="Arial" w:cs="Arial"/>
          <w:sz w:val="20"/>
          <w:szCs w:val="20"/>
        </w:rPr>
        <w:t xml:space="preserve"> </w:t>
      </w:r>
      <w:r w:rsidR="00C4751A">
        <w:rPr>
          <w:rFonts w:ascii="Arial" w:hAnsi="Arial" w:cs="Arial"/>
          <w:sz w:val="20"/>
          <w:szCs w:val="20"/>
        </w:rPr>
        <w:t xml:space="preserve">  </w:t>
      </w:r>
      <w:r w:rsidR="009B4165">
        <w:rPr>
          <w:rFonts w:ascii="Arial" w:hAnsi="Arial" w:cs="Arial"/>
          <w:sz w:val="20"/>
          <w:szCs w:val="20"/>
        </w:rPr>
        <w:t xml:space="preserve"> </w:t>
      </w:r>
      <w:r w:rsidR="00493A70">
        <w:rPr>
          <w:rFonts w:ascii="Arial" w:hAnsi="Arial" w:cs="Arial"/>
          <w:sz w:val="20"/>
          <w:szCs w:val="20"/>
        </w:rPr>
        <w:t xml:space="preserve"> </w:t>
      </w:r>
      <w:r w:rsidR="00B0024C">
        <w:rPr>
          <w:rFonts w:ascii="Arial" w:hAnsi="Arial" w:cs="Arial"/>
          <w:sz w:val="20"/>
          <w:szCs w:val="20"/>
        </w:rPr>
        <w:t xml:space="preserve">  </w:t>
      </w:r>
      <w:r w:rsidR="006261A9">
        <w:rPr>
          <w:rFonts w:ascii="Arial" w:hAnsi="Arial" w:cs="Arial"/>
          <w:sz w:val="20"/>
          <w:szCs w:val="20"/>
        </w:rPr>
        <w:t xml:space="preserve">     </w:t>
      </w:r>
      <w:r w:rsidR="00FF187D" w:rsidRPr="002B20B0">
        <w:rPr>
          <w:rFonts w:ascii="Arial" w:hAnsi="Arial" w:cs="Arial"/>
          <w:sz w:val="20"/>
          <w:szCs w:val="20"/>
        </w:rPr>
        <w:t xml:space="preserve"> </w:t>
      </w:r>
      <w:r w:rsidR="00415661" w:rsidRPr="002B20B0">
        <w:rPr>
          <w:rFonts w:ascii="Arial" w:hAnsi="Arial" w:cs="Arial"/>
          <w:sz w:val="20"/>
          <w:szCs w:val="20"/>
        </w:rPr>
        <w:t xml:space="preserve">   </w:t>
      </w:r>
      <w:r w:rsidR="00210031" w:rsidRPr="002B20B0">
        <w:rPr>
          <w:rFonts w:ascii="Arial" w:hAnsi="Arial" w:cs="Arial"/>
          <w:sz w:val="20"/>
          <w:szCs w:val="20"/>
        </w:rPr>
        <w:t xml:space="preserve"> </w:t>
      </w:r>
      <w:r w:rsidR="00D237ED" w:rsidRPr="002B20B0">
        <w:rPr>
          <w:rFonts w:ascii="Arial" w:hAnsi="Arial" w:cs="Arial"/>
          <w:sz w:val="20"/>
          <w:szCs w:val="20"/>
        </w:rPr>
        <w:t xml:space="preserve">   </w:t>
      </w:r>
      <w:r w:rsidR="003B61AB" w:rsidRPr="002B20B0">
        <w:rPr>
          <w:rFonts w:ascii="Arial" w:hAnsi="Arial" w:cs="Arial"/>
          <w:sz w:val="20"/>
          <w:szCs w:val="20"/>
        </w:rPr>
        <w:t xml:space="preserve"> </w:t>
      </w:r>
      <w:r w:rsidR="00291A2A" w:rsidRPr="002B20B0">
        <w:rPr>
          <w:rFonts w:ascii="Arial" w:hAnsi="Arial" w:cs="Arial"/>
          <w:sz w:val="20"/>
          <w:szCs w:val="20"/>
        </w:rPr>
        <w:t xml:space="preserve">   </w:t>
      </w:r>
      <w:r w:rsidR="002A195A" w:rsidRPr="002B20B0">
        <w:rPr>
          <w:rFonts w:ascii="Arial" w:hAnsi="Arial" w:cs="Arial"/>
          <w:sz w:val="20"/>
          <w:szCs w:val="20"/>
        </w:rPr>
        <w:t xml:space="preserve">   </w:t>
      </w:r>
      <w:r w:rsidR="00122D29" w:rsidRPr="002B20B0">
        <w:rPr>
          <w:rFonts w:ascii="Arial" w:hAnsi="Arial" w:cs="Arial"/>
          <w:sz w:val="20"/>
          <w:szCs w:val="20"/>
        </w:rPr>
        <w:t xml:space="preserve">  </w:t>
      </w:r>
      <w:r w:rsidR="00065297" w:rsidRPr="002B20B0">
        <w:rPr>
          <w:rFonts w:ascii="Arial" w:hAnsi="Arial" w:cs="Arial"/>
          <w:sz w:val="20"/>
          <w:szCs w:val="20"/>
        </w:rPr>
        <w:t xml:space="preserve"> </w:t>
      </w:r>
      <w:r w:rsidR="007D7EEC" w:rsidRPr="002B20B0">
        <w:rPr>
          <w:rFonts w:ascii="Arial" w:hAnsi="Arial" w:cs="Arial"/>
          <w:sz w:val="20"/>
          <w:szCs w:val="20"/>
        </w:rPr>
        <w:t xml:space="preserve"> </w:t>
      </w:r>
      <w:r w:rsidR="00852D30" w:rsidRPr="002B20B0">
        <w:rPr>
          <w:rFonts w:ascii="Arial" w:hAnsi="Arial" w:cs="Arial"/>
          <w:sz w:val="20"/>
          <w:szCs w:val="20"/>
        </w:rPr>
        <w:t xml:space="preserve"> </w:t>
      </w:r>
      <w:r w:rsidR="00B92FE4" w:rsidRPr="002B20B0">
        <w:rPr>
          <w:rFonts w:ascii="Arial" w:hAnsi="Arial" w:cs="Arial"/>
          <w:sz w:val="20"/>
          <w:szCs w:val="20"/>
        </w:rPr>
        <w:t xml:space="preserve">   </w:t>
      </w:r>
      <w:r w:rsidR="00D83D56" w:rsidRPr="002B20B0">
        <w:rPr>
          <w:rFonts w:ascii="Arial" w:hAnsi="Arial" w:cs="Arial"/>
          <w:sz w:val="20"/>
          <w:szCs w:val="20"/>
        </w:rPr>
        <w:t xml:space="preserve"> </w:t>
      </w:r>
      <w:r w:rsidR="00E808A6" w:rsidRPr="002B20B0">
        <w:rPr>
          <w:rFonts w:ascii="Arial" w:hAnsi="Arial" w:cs="Arial"/>
          <w:sz w:val="20"/>
          <w:szCs w:val="20"/>
        </w:rPr>
        <w:t xml:space="preserve">  </w:t>
      </w:r>
      <w:r w:rsidR="00DE1BDE" w:rsidRPr="002B20B0">
        <w:rPr>
          <w:rFonts w:ascii="Arial" w:hAnsi="Arial" w:cs="Arial"/>
          <w:sz w:val="20"/>
          <w:szCs w:val="20"/>
        </w:rPr>
        <w:t xml:space="preserve"> </w:t>
      </w:r>
      <w:r w:rsidR="00A15F2F" w:rsidRPr="002B20B0">
        <w:rPr>
          <w:rFonts w:ascii="Arial" w:hAnsi="Arial" w:cs="Arial"/>
          <w:sz w:val="20"/>
          <w:szCs w:val="20"/>
        </w:rPr>
        <w:t xml:space="preserve">    </w:t>
      </w:r>
      <w:r w:rsidR="006660AB" w:rsidRPr="002B20B0">
        <w:rPr>
          <w:rFonts w:ascii="Arial" w:hAnsi="Arial" w:cs="Arial"/>
          <w:sz w:val="20"/>
          <w:szCs w:val="20"/>
        </w:rPr>
        <w:t xml:space="preserve"> </w:t>
      </w:r>
      <w:r w:rsidR="00BE1A7C" w:rsidRPr="002B20B0">
        <w:rPr>
          <w:rFonts w:ascii="Arial" w:hAnsi="Arial" w:cs="Arial"/>
          <w:sz w:val="20"/>
          <w:szCs w:val="20"/>
        </w:rPr>
        <w:t xml:space="preserve"> </w:t>
      </w:r>
      <w:r w:rsidR="004D35DC" w:rsidRPr="002B20B0">
        <w:rPr>
          <w:rFonts w:ascii="Arial" w:hAnsi="Arial" w:cs="Arial"/>
          <w:sz w:val="20"/>
          <w:szCs w:val="20"/>
        </w:rPr>
        <w:t xml:space="preserve"> </w:t>
      </w:r>
      <w:r w:rsidR="005B177F" w:rsidRPr="002B20B0">
        <w:rPr>
          <w:rFonts w:ascii="Arial" w:hAnsi="Arial" w:cs="Arial"/>
          <w:sz w:val="20"/>
          <w:szCs w:val="20"/>
        </w:rPr>
        <w:t xml:space="preserve"> </w:t>
      </w:r>
      <w:r w:rsidR="00E167A5" w:rsidRPr="002B20B0">
        <w:rPr>
          <w:rFonts w:ascii="Arial" w:hAnsi="Arial" w:cs="Arial"/>
          <w:sz w:val="20"/>
          <w:szCs w:val="20"/>
        </w:rPr>
        <w:t xml:space="preserve">  </w:t>
      </w:r>
      <w:r w:rsidR="00D22187" w:rsidRPr="002B20B0">
        <w:rPr>
          <w:rFonts w:ascii="Arial" w:hAnsi="Arial" w:cs="Arial"/>
          <w:sz w:val="20"/>
          <w:szCs w:val="20"/>
        </w:rPr>
        <w:t xml:space="preserve">    </w:t>
      </w:r>
      <w:r w:rsidR="00C677C1" w:rsidRPr="002B20B0">
        <w:rPr>
          <w:rFonts w:ascii="Arial" w:hAnsi="Arial" w:cs="Arial"/>
          <w:sz w:val="20"/>
          <w:szCs w:val="20"/>
        </w:rPr>
        <w:t xml:space="preserve"> </w:t>
      </w:r>
    </w:p>
    <w:p w14:paraId="661095E6" w14:textId="48E05D20" w:rsidR="004C2676" w:rsidRPr="00295527" w:rsidRDefault="00D463D6" w:rsidP="00295527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0FD11183" w14:textId="77777777" w:rsidR="00295527" w:rsidRDefault="00295527" w:rsidP="00295527">
      <w:pPr>
        <w:jc w:val="both"/>
        <w:rPr>
          <w:rFonts w:ascii="Arial" w:hAnsi="Arial" w:cs="Arial"/>
          <w:bCs/>
          <w:sz w:val="20"/>
          <w:szCs w:val="20"/>
        </w:rPr>
      </w:pPr>
    </w:p>
    <w:p w14:paraId="37B84C01" w14:textId="173A2B4C" w:rsidR="00B935F2" w:rsidRDefault="003B270B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SAR (</w:t>
      </w:r>
      <w:r w:rsidRPr="003B270B">
        <w:rPr>
          <w:rFonts w:ascii="Arial" w:hAnsi="Arial" w:cs="Arial"/>
          <w:bCs/>
          <w:sz w:val="20"/>
          <w:szCs w:val="20"/>
        </w:rPr>
        <w:t>Specific Absorption Rate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Pr="003B270B">
        <w:rPr>
          <w:rFonts w:ascii="Arial" w:hAnsi="Arial" w:cs="Arial"/>
          <w:bCs/>
          <w:sz w:val="20"/>
          <w:szCs w:val="20"/>
        </w:rPr>
        <w:t>is a measure of the rate of RF energy absorption by the body from the source being measured</w:t>
      </w:r>
      <w:r>
        <w:rPr>
          <w:rFonts w:ascii="Arial" w:hAnsi="Arial" w:cs="Arial"/>
          <w:bCs/>
          <w:sz w:val="20"/>
          <w:szCs w:val="20"/>
        </w:rPr>
        <w:t>, specifically a handheld UE</w:t>
      </w:r>
      <w:r w:rsidR="00790B2B">
        <w:rPr>
          <w:rFonts w:ascii="Arial" w:hAnsi="Arial" w:cs="Arial"/>
          <w:bCs/>
          <w:sz w:val="20"/>
          <w:szCs w:val="20"/>
        </w:rPr>
        <w:t xml:space="preserve"> from 3GPP perspective</w:t>
      </w:r>
      <w:r w:rsidRPr="003B270B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790B2B">
        <w:rPr>
          <w:rFonts w:ascii="Arial" w:hAnsi="Arial" w:cs="Arial"/>
          <w:bCs/>
          <w:sz w:val="20"/>
          <w:szCs w:val="20"/>
        </w:rPr>
        <w:t xml:space="preserve">SAR limit is a regulatory requirement which is to ensure the human exposure to RF energy is below the safety level while using the device. </w:t>
      </w:r>
      <w:r>
        <w:rPr>
          <w:rFonts w:ascii="Arial" w:hAnsi="Arial" w:cs="Arial"/>
          <w:bCs/>
          <w:sz w:val="20"/>
          <w:szCs w:val="20"/>
        </w:rPr>
        <w:t>The term “SAR” however has never been officially defined in 3GPP specifications, instead,</w:t>
      </w:r>
      <w:r w:rsidR="00790B2B">
        <w:rPr>
          <w:rFonts w:ascii="Arial" w:hAnsi="Arial" w:cs="Arial"/>
          <w:bCs/>
          <w:sz w:val="20"/>
          <w:szCs w:val="20"/>
        </w:rPr>
        <w:t xml:space="preserve"> it is </w:t>
      </w:r>
      <w:r w:rsidR="00B935F2">
        <w:rPr>
          <w:rFonts w:ascii="Arial" w:hAnsi="Arial" w:cs="Arial"/>
          <w:bCs/>
          <w:sz w:val="20"/>
          <w:szCs w:val="20"/>
        </w:rPr>
        <w:t xml:space="preserve">simply </w:t>
      </w:r>
      <w:r w:rsidR="00790B2B">
        <w:rPr>
          <w:rFonts w:ascii="Arial" w:hAnsi="Arial" w:cs="Arial"/>
          <w:bCs/>
          <w:sz w:val="20"/>
          <w:szCs w:val="20"/>
        </w:rPr>
        <w:t>referred as</w:t>
      </w:r>
      <w:r w:rsidR="00B935F2">
        <w:rPr>
          <w:rFonts w:ascii="Arial" w:hAnsi="Arial" w:cs="Arial"/>
          <w:bCs/>
          <w:sz w:val="20"/>
          <w:szCs w:val="20"/>
        </w:rPr>
        <w:t xml:space="preserve"> the “</w:t>
      </w:r>
      <w:r w:rsidR="00B935F2" w:rsidRPr="00B935F2">
        <w:rPr>
          <w:rFonts w:ascii="Arial" w:hAnsi="Arial" w:cs="Arial"/>
          <w:bCs/>
          <w:sz w:val="20"/>
          <w:szCs w:val="20"/>
        </w:rPr>
        <w:t>applicable electromagnetic energy absorption requirements</w:t>
      </w:r>
      <w:r w:rsidR="00B935F2">
        <w:rPr>
          <w:rFonts w:ascii="Arial" w:hAnsi="Arial" w:cs="Arial"/>
          <w:bCs/>
          <w:sz w:val="20"/>
          <w:szCs w:val="20"/>
        </w:rPr>
        <w:t xml:space="preserve">” but without explicit </w:t>
      </w:r>
      <w:r w:rsidR="00C9378E">
        <w:rPr>
          <w:rFonts w:ascii="Arial" w:hAnsi="Arial" w:cs="Arial"/>
          <w:bCs/>
          <w:sz w:val="20"/>
          <w:szCs w:val="20"/>
        </w:rPr>
        <w:t>value</w:t>
      </w:r>
      <w:r w:rsidR="00B935F2">
        <w:rPr>
          <w:rFonts w:ascii="Arial" w:hAnsi="Arial" w:cs="Arial"/>
          <w:bCs/>
          <w:sz w:val="20"/>
          <w:szCs w:val="20"/>
        </w:rPr>
        <w:t xml:space="preserve"> specified.</w:t>
      </w:r>
    </w:p>
    <w:p w14:paraId="60470C71" w14:textId="77777777" w:rsidR="00B935F2" w:rsidRDefault="00B935F2" w:rsidP="00B935F2">
      <w:pPr>
        <w:jc w:val="both"/>
        <w:rPr>
          <w:rFonts w:ascii="Arial" w:hAnsi="Arial" w:cs="Arial"/>
          <w:bCs/>
          <w:sz w:val="20"/>
          <w:szCs w:val="20"/>
        </w:rPr>
      </w:pPr>
    </w:p>
    <w:p w14:paraId="79E5E579" w14:textId="4669FAA0" w:rsidR="00BA4767" w:rsidRPr="00BA4767" w:rsidRDefault="00BA4767" w:rsidP="00BA476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>Observation 1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: The term “SAR” has never been officially defined in 3GPP specifications, instead, it is simply referred as the “applicable electromagnetic energy absorption requirements” but without explicit value specified.</w:t>
      </w:r>
    </w:p>
    <w:p w14:paraId="5FCF1454" w14:textId="77777777" w:rsidR="00BA4767" w:rsidRDefault="00BA4767" w:rsidP="00B935F2">
      <w:pPr>
        <w:jc w:val="both"/>
        <w:rPr>
          <w:rFonts w:ascii="Arial" w:hAnsi="Arial" w:cs="Arial"/>
          <w:bCs/>
          <w:sz w:val="20"/>
          <w:szCs w:val="20"/>
        </w:rPr>
      </w:pPr>
    </w:p>
    <w:p w14:paraId="3BD65A16" w14:textId="1708C813" w:rsidR="003B308D" w:rsidRDefault="00FD3F5B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In 3GPP, the SAR issue has been made more aware </w:t>
      </w:r>
      <w:r w:rsidR="00D02D5A">
        <w:rPr>
          <w:rFonts w:ascii="Arial" w:hAnsi="Arial" w:cs="Arial"/>
          <w:bCs/>
          <w:sz w:val="20"/>
          <w:szCs w:val="20"/>
        </w:rPr>
        <w:t xml:space="preserve">since </w:t>
      </w:r>
      <w:r>
        <w:rPr>
          <w:rFonts w:ascii="Arial" w:hAnsi="Arial" w:cs="Arial"/>
          <w:bCs/>
          <w:sz w:val="20"/>
          <w:szCs w:val="20"/>
        </w:rPr>
        <w:t xml:space="preserve">the HPUE was </w:t>
      </w:r>
      <w:r w:rsidR="00D02D5A">
        <w:rPr>
          <w:rFonts w:ascii="Arial" w:hAnsi="Arial" w:cs="Arial"/>
          <w:bCs/>
          <w:sz w:val="20"/>
          <w:szCs w:val="20"/>
        </w:rPr>
        <w:t xml:space="preserve">first </w:t>
      </w:r>
      <w:r>
        <w:rPr>
          <w:rFonts w:ascii="Arial" w:hAnsi="Arial" w:cs="Arial"/>
          <w:bCs/>
          <w:sz w:val="20"/>
          <w:szCs w:val="20"/>
        </w:rPr>
        <w:t>introduced in LTE for handheld</w:t>
      </w:r>
      <w:r w:rsidR="00D02D5A">
        <w:rPr>
          <w:rFonts w:ascii="Arial" w:hAnsi="Arial" w:cs="Arial"/>
          <w:bCs/>
          <w:sz w:val="20"/>
          <w:szCs w:val="20"/>
        </w:rPr>
        <w:t xml:space="preserve"> devices</w:t>
      </w:r>
      <w:r>
        <w:rPr>
          <w:rFonts w:ascii="Arial" w:hAnsi="Arial" w:cs="Arial"/>
          <w:bCs/>
          <w:sz w:val="20"/>
          <w:szCs w:val="20"/>
        </w:rPr>
        <w:t>. In nearly</w:t>
      </w:r>
      <w:r w:rsidR="00D02D5A">
        <w:rPr>
          <w:rFonts w:ascii="Arial" w:hAnsi="Arial" w:cs="Arial"/>
          <w:bCs/>
          <w:sz w:val="20"/>
          <w:szCs w:val="20"/>
        </w:rPr>
        <w:t xml:space="preserve"> every HPUE related work item, SAR mitigation has been included as an objective which had seemingly led to a misconception that</w:t>
      </w:r>
      <w:r w:rsidR="002A460E">
        <w:rPr>
          <w:rFonts w:ascii="Arial" w:hAnsi="Arial" w:cs="Arial"/>
          <w:bCs/>
          <w:sz w:val="20"/>
          <w:szCs w:val="20"/>
        </w:rPr>
        <w:t xml:space="preserve"> SAR solution is only needed for HPUE, but not for default power class (PC3) or even lower power UE. </w:t>
      </w:r>
      <w:r w:rsidR="007C1349">
        <w:rPr>
          <w:rFonts w:ascii="Arial" w:hAnsi="Arial" w:cs="Arial"/>
          <w:bCs/>
          <w:sz w:val="20"/>
          <w:szCs w:val="20"/>
        </w:rPr>
        <w:t xml:space="preserve">In fact, even before the introduction of HPUE, SAR mitigation has already been considered in 3GPP specifications, which is known as the P-MPR solution. </w:t>
      </w:r>
      <w:r w:rsidR="005D5C72">
        <w:rPr>
          <w:rFonts w:ascii="Arial" w:hAnsi="Arial" w:cs="Arial"/>
          <w:bCs/>
          <w:sz w:val="20"/>
          <w:szCs w:val="20"/>
        </w:rPr>
        <w:t xml:space="preserve">In our view, the SAR issue </w:t>
      </w:r>
      <w:r w:rsidR="007C1349">
        <w:rPr>
          <w:rFonts w:ascii="Arial" w:hAnsi="Arial" w:cs="Arial"/>
          <w:bCs/>
          <w:sz w:val="20"/>
          <w:szCs w:val="20"/>
        </w:rPr>
        <w:t>being</w:t>
      </w:r>
      <w:r w:rsidR="005D5C72">
        <w:rPr>
          <w:rFonts w:ascii="Arial" w:hAnsi="Arial" w:cs="Arial"/>
          <w:bCs/>
          <w:sz w:val="20"/>
          <w:szCs w:val="20"/>
        </w:rPr>
        <w:t xml:space="preserve"> made more aware for HPUE is due to that a new solution, also known as “duty-cycle” approach was </w:t>
      </w:r>
      <w:r w:rsidR="003B308D">
        <w:rPr>
          <w:rFonts w:ascii="Arial" w:hAnsi="Arial" w:cs="Arial"/>
          <w:bCs/>
          <w:sz w:val="20"/>
          <w:szCs w:val="20"/>
        </w:rPr>
        <w:lastRenderedPageBreak/>
        <w:t xml:space="preserve">specifically </w:t>
      </w:r>
      <w:r w:rsidR="005D5C72">
        <w:rPr>
          <w:rFonts w:ascii="Arial" w:hAnsi="Arial" w:cs="Arial"/>
          <w:bCs/>
          <w:sz w:val="20"/>
          <w:szCs w:val="20"/>
        </w:rPr>
        <w:t>introduced for HPUE</w:t>
      </w:r>
      <w:r w:rsidR="007C1349">
        <w:rPr>
          <w:rFonts w:ascii="Arial" w:hAnsi="Arial" w:cs="Arial"/>
          <w:bCs/>
          <w:sz w:val="20"/>
          <w:szCs w:val="20"/>
        </w:rPr>
        <w:t xml:space="preserve">. </w:t>
      </w:r>
      <w:r w:rsidR="000816E4">
        <w:rPr>
          <w:rFonts w:ascii="Arial" w:hAnsi="Arial" w:cs="Arial"/>
          <w:bCs/>
          <w:sz w:val="20"/>
          <w:szCs w:val="20"/>
        </w:rPr>
        <w:t>As</w:t>
      </w:r>
      <w:r w:rsidR="007C1349">
        <w:rPr>
          <w:rFonts w:ascii="Arial" w:hAnsi="Arial" w:cs="Arial"/>
          <w:bCs/>
          <w:sz w:val="20"/>
          <w:szCs w:val="20"/>
        </w:rPr>
        <w:t xml:space="preserve"> 3GPP </w:t>
      </w:r>
      <w:r w:rsidR="000816E4">
        <w:rPr>
          <w:rFonts w:ascii="Arial" w:hAnsi="Arial" w:cs="Arial"/>
          <w:bCs/>
          <w:sz w:val="20"/>
          <w:szCs w:val="20"/>
        </w:rPr>
        <w:t xml:space="preserve">has been </w:t>
      </w:r>
      <w:r w:rsidR="007C1349">
        <w:rPr>
          <w:rFonts w:ascii="Arial" w:hAnsi="Arial" w:cs="Arial"/>
          <w:bCs/>
          <w:sz w:val="20"/>
          <w:szCs w:val="20"/>
        </w:rPr>
        <w:t>focus</w:t>
      </w:r>
      <w:r w:rsidR="000816E4">
        <w:rPr>
          <w:rFonts w:ascii="Arial" w:hAnsi="Arial" w:cs="Arial"/>
          <w:bCs/>
          <w:sz w:val="20"/>
          <w:szCs w:val="20"/>
        </w:rPr>
        <w:t>ing</w:t>
      </w:r>
      <w:r w:rsidR="007C1349">
        <w:rPr>
          <w:rFonts w:ascii="Arial" w:hAnsi="Arial" w:cs="Arial"/>
          <w:bCs/>
          <w:sz w:val="20"/>
          <w:szCs w:val="20"/>
        </w:rPr>
        <w:t xml:space="preserve"> so much on the duty-cycle</w:t>
      </w:r>
      <w:r w:rsidR="003B308D">
        <w:rPr>
          <w:rFonts w:ascii="Arial" w:hAnsi="Arial" w:cs="Arial"/>
          <w:bCs/>
          <w:sz w:val="20"/>
          <w:szCs w:val="20"/>
        </w:rPr>
        <w:t xml:space="preserve"> solution for almost every HPUE</w:t>
      </w:r>
      <w:r w:rsidR="000816E4">
        <w:rPr>
          <w:rFonts w:ascii="Arial" w:hAnsi="Arial" w:cs="Arial"/>
          <w:bCs/>
          <w:sz w:val="20"/>
          <w:szCs w:val="20"/>
        </w:rPr>
        <w:t xml:space="preserve"> UL configuration</w:t>
      </w:r>
      <w:r w:rsidR="003B308D">
        <w:rPr>
          <w:rFonts w:ascii="Arial" w:hAnsi="Arial" w:cs="Arial"/>
          <w:bCs/>
          <w:sz w:val="20"/>
          <w:szCs w:val="20"/>
        </w:rPr>
        <w:t>, the most fundamental solution of using P-MPR was often overlooked or taken for granted.</w:t>
      </w:r>
    </w:p>
    <w:p w14:paraId="365E0287" w14:textId="77777777" w:rsidR="003B308D" w:rsidRDefault="003B308D" w:rsidP="003B308D">
      <w:pPr>
        <w:jc w:val="both"/>
        <w:rPr>
          <w:rFonts w:ascii="Arial" w:hAnsi="Arial" w:cs="Arial"/>
          <w:bCs/>
          <w:sz w:val="20"/>
          <w:szCs w:val="20"/>
        </w:rPr>
      </w:pPr>
    </w:p>
    <w:p w14:paraId="360BDE6E" w14:textId="120FA954" w:rsidR="00BA4767" w:rsidRDefault="00BA4767" w:rsidP="00BA4767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2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: In 3GPP, the SAR issue has been made more aware since the HPUE was first introduced in LTE for handheld devices.</w:t>
      </w:r>
    </w:p>
    <w:p w14:paraId="1EDC7252" w14:textId="77777777" w:rsidR="00BA4767" w:rsidRDefault="00BA4767" w:rsidP="003B308D">
      <w:pPr>
        <w:jc w:val="both"/>
        <w:rPr>
          <w:rFonts w:ascii="Arial" w:hAnsi="Arial" w:cs="Arial"/>
          <w:bCs/>
          <w:sz w:val="20"/>
          <w:szCs w:val="20"/>
        </w:rPr>
      </w:pPr>
    </w:p>
    <w:p w14:paraId="57D2F0C6" w14:textId="47D9C5C7" w:rsidR="00BA4767" w:rsidRDefault="00BA4767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3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: In fact, even before the introduction of HPUE, SAR mitigation has already been considered in 3GPP specifications, which is known as the P-MPR solution.</w:t>
      </w:r>
    </w:p>
    <w:p w14:paraId="08432297" w14:textId="77777777" w:rsidR="00BA4767" w:rsidRDefault="00BA4767" w:rsidP="00BA4767">
      <w:pPr>
        <w:jc w:val="both"/>
        <w:rPr>
          <w:rFonts w:ascii="Arial" w:hAnsi="Arial" w:cs="Arial"/>
          <w:bCs/>
          <w:sz w:val="20"/>
          <w:szCs w:val="20"/>
        </w:rPr>
      </w:pPr>
    </w:p>
    <w:p w14:paraId="7B7FADAB" w14:textId="526BAFC6" w:rsidR="00F70628" w:rsidRDefault="000816E4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Despite </w:t>
      </w:r>
      <w:r w:rsidR="0001172F">
        <w:rPr>
          <w:rFonts w:ascii="Arial" w:hAnsi="Arial" w:cs="Arial"/>
          <w:bCs/>
          <w:sz w:val="20"/>
          <w:szCs w:val="20"/>
        </w:rPr>
        <w:t xml:space="preserve">UL </w:t>
      </w:r>
      <w:r>
        <w:rPr>
          <w:rFonts w:ascii="Arial" w:hAnsi="Arial" w:cs="Arial"/>
          <w:bCs/>
          <w:sz w:val="20"/>
          <w:szCs w:val="20"/>
        </w:rPr>
        <w:t xml:space="preserve">duty-cycle solution has drawn so much attention in every HPUE related work item and consumed </w:t>
      </w:r>
      <w:r w:rsidR="00F70628">
        <w:rPr>
          <w:rFonts w:ascii="Arial" w:hAnsi="Arial" w:cs="Arial"/>
          <w:bCs/>
          <w:sz w:val="20"/>
          <w:szCs w:val="20"/>
        </w:rPr>
        <w:t>substantial RAN4 efforts in the specifications development, especially for inter-band UL CA/DC</w:t>
      </w:r>
      <w:r>
        <w:rPr>
          <w:rFonts w:ascii="Arial" w:hAnsi="Arial" w:cs="Arial"/>
          <w:bCs/>
          <w:sz w:val="20"/>
          <w:szCs w:val="20"/>
        </w:rPr>
        <w:t xml:space="preserve">, it has been </w:t>
      </w:r>
      <w:r w:rsidR="0001172F">
        <w:rPr>
          <w:rFonts w:ascii="Arial" w:hAnsi="Arial" w:cs="Arial"/>
          <w:bCs/>
          <w:sz w:val="20"/>
          <w:szCs w:val="20"/>
        </w:rPr>
        <w:t>realized</w:t>
      </w:r>
      <w:r w:rsidR="00F70628">
        <w:rPr>
          <w:rFonts w:ascii="Arial" w:hAnsi="Arial" w:cs="Arial"/>
          <w:bCs/>
          <w:sz w:val="20"/>
          <w:szCs w:val="20"/>
        </w:rPr>
        <w:t xml:space="preserve"> that the approach is rather inefficient in UL performance and the applicability is also quite limited</w:t>
      </w:r>
      <w:r w:rsidR="0001172F">
        <w:rPr>
          <w:rFonts w:ascii="Arial" w:hAnsi="Arial" w:cs="Arial"/>
          <w:bCs/>
          <w:sz w:val="20"/>
          <w:szCs w:val="20"/>
        </w:rPr>
        <w:t>, and yet with lots of downsides</w:t>
      </w:r>
      <w:r w:rsidR="00F70628">
        <w:rPr>
          <w:rFonts w:ascii="Arial" w:hAnsi="Arial" w:cs="Arial"/>
          <w:bCs/>
          <w:sz w:val="20"/>
          <w:szCs w:val="20"/>
        </w:rPr>
        <w:t>, as is further elaborated below.</w:t>
      </w:r>
    </w:p>
    <w:p w14:paraId="7FF06172" w14:textId="77777777" w:rsidR="00F70628" w:rsidRDefault="00F70628" w:rsidP="00F70628">
      <w:pPr>
        <w:jc w:val="both"/>
        <w:rPr>
          <w:rFonts w:ascii="Arial" w:hAnsi="Arial" w:cs="Arial"/>
          <w:bCs/>
          <w:sz w:val="20"/>
          <w:szCs w:val="20"/>
        </w:rPr>
      </w:pPr>
    </w:p>
    <w:p w14:paraId="7487C033" w14:textId="3408FD80" w:rsidR="00BA4767" w:rsidRDefault="00BA4767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4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I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t has been realized that the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UL duty-cycle solution with 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ΔP</w:t>
      </w:r>
      <w:r w:rsidRPr="00BA4767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is rather inefficient in UL performance and the applicability is also quite limited, and yet with lots of downsides.</w:t>
      </w:r>
    </w:p>
    <w:p w14:paraId="0F361EA8" w14:textId="77777777" w:rsidR="00BA4767" w:rsidRDefault="00BA4767" w:rsidP="00BA4767">
      <w:pPr>
        <w:jc w:val="both"/>
        <w:rPr>
          <w:rFonts w:ascii="Arial" w:hAnsi="Arial" w:cs="Arial"/>
          <w:bCs/>
          <w:sz w:val="20"/>
          <w:szCs w:val="20"/>
        </w:rPr>
      </w:pPr>
    </w:p>
    <w:p w14:paraId="6665E6C7" w14:textId="44DB058A" w:rsidR="00596836" w:rsidRDefault="00F70628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First, the </w:t>
      </w:r>
      <w:r w:rsidR="00644EC4">
        <w:rPr>
          <w:rFonts w:ascii="Arial" w:hAnsi="Arial" w:cs="Arial"/>
          <w:bCs/>
          <w:sz w:val="20"/>
          <w:szCs w:val="20"/>
        </w:rPr>
        <w:t xml:space="preserve">UL </w:t>
      </w:r>
      <w:r>
        <w:rPr>
          <w:rFonts w:ascii="Arial" w:hAnsi="Arial" w:cs="Arial"/>
          <w:bCs/>
          <w:sz w:val="20"/>
          <w:szCs w:val="20"/>
        </w:rPr>
        <w:t xml:space="preserve">duty-cycle solution needs to be associated with </w:t>
      </w:r>
      <w:r w:rsidR="00644EC4">
        <w:rPr>
          <w:rFonts w:ascii="Arial" w:hAnsi="Arial" w:cs="Arial"/>
          <w:bCs/>
          <w:sz w:val="20"/>
          <w:szCs w:val="20"/>
        </w:rPr>
        <w:t xml:space="preserve">a </w:t>
      </w:r>
      <w:r>
        <w:rPr>
          <w:rFonts w:ascii="Arial" w:hAnsi="Arial" w:cs="Arial"/>
          <w:bCs/>
          <w:sz w:val="20"/>
          <w:szCs w:val="20"/>
        </w:rPr>
        <w:t xml:space="preserve">power reduction term, called </w:t>
      </w:r>
      <w:r>
        <w:rPr>
          <w:rFonts w:ascii="Arial" w:hAnsi="Arial" w:cs="Arial"/>
          <w:sz w:val="20"/>
          <w:szCs w:val="20"/>
        </w:rPr>
        <w:t>ΔP</w:t>
      </w:r>
      <w:r w:rsidRPr="00814317">
        <w:rPr>
          <w:rFonts w:ascii="Arial" w:hAnsi="Arial" w:cs="Arial"/>
          <w:sz w:val="20"/>
          <w:szCs w:val="20"/>
          <w:vertAlign w:val="subscript"/>
        </w:rPr>
        <w:t>PowerClass</w:t>
      </w:r>
      <w:r>
        <w:rPr>
          <w:rFonts w:ascii="Arial" w:hAnsi="Arial" w:cs="Arial"/>
          <w:sz w:val="20"/>
          <w:szCs w:val="20"/>
        </w:rPr>
        <w:t xml:space="preserve">, which can only be 3dB or 6dB. For PC2 UE, when UL duty cycle exceeds the maximum limit, let’s say 50%, the UE configured maximum output power would be reduced by 3dB. Similarly, for PC1.5 UE, when UL duty cycle exceeds the maximum limit, let’s say </w:t>
      </w:r>
      <w:r w:rsidR="00596836">
        <w:rPr>
          <w:rFonts w:ascii="Arial" w:hAnsi="Arial" w:cs="Arial"/>
          <w:sz w:val="20"/>
          <w:szCs w:val="20"/>
        </w:rPr>
        <w:t xml:space="preserve">also </w:t>
      </w:r>
      <w:r>
        <w:rPr>
          <w:rFonts w:ascii="Arial" w:hAnsi="Arial" w:cs="Arial"/>
          <w:sz w:val="20"/>
          <w:szCs w:val="20"/>
        </w:rPr>
        <w:t xml:space="preserve">50%, the UE configured maximum output power would be reduced by 6dB. </w:t>
      </w:r>
      <w:r w:rsidR="00596836">
        <w:rPr>
          <w:rFonts w:ascii="Arial" w:hAnsi="Arial" w:cs="Arial"/>
          <w:sz w:val="20"/>
          <w:szCs w:val="20"/>
        </w:rPr>
        <w:t>Such large step of power reduction during the UL transmission could potentially cause UL reception failure at gNB or impact the UL performance.</w:t>
      </w:r>
    </w:p>
    <w:p w14:paraId="4AE5C4CA" w14:textId="77777777" w:rsidR="00596836" w:rsidRDefault="00596836" w:rsidP="00596836">
      <w:pPr>
        <w:jc w:val="both"/>
        <w:rPr>
          <w:rFonts w:ascii="Arial" w:hAnsi="Arial" w:cs="Arial"/>
          <w:sz w:val="20"/>
          <w:szCs w:val="20"/>
        </w:rPr>
      </w:pPr>
    </w:p>
    <w:p w14:paraId="63008300" w14:textId="64824243" w:rsidR="00BA4767" w:rsidRDefault="00BA4767" w:rsidP="009F7AA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5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large step of power reduction ΔP</w:t>
      </w:r>
      <w:r w:rsidRPr="00BA4767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 during the UL transmission could potentially cause UL reception failure at gNB or impact the UL performance.</w:t>
      </w:r>
    </w:p>
    <w:p w14:paraId="2FF65E34" w14:textId="77777777" w:rsidR="00BA4767" w:rsidRDefault="00BA4767" w:rsidP="00596836">
      <w:pPr>
        <w:jc w:val="both"/>
        <w:rPr>
          <w:rFonts w:ascii="Arial" w:hAnsi="Arial" w:cs="Arial"/>
          <w:sz w:val="20"/>
          <w:szCs w:val="20"/>
        </w:rPr>
      </w:pPr>
    </w:p>
    <w:p w14:paraId="68F9C050" w14:textId="01507047" w:rsidR="00554DDE" w:rsidRDefault="00596836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Second, the </w:t>
      </w:r>
      <w:r w:rsidR="00644EC4">
        <w:rPr>
          <w:rFonts w:ascii="Arial" w:hAnsi="Arial" w:cs="Arial"/>
          <w:sz w:val="20"/>
          <w:szCs w:val="20"/>
        </w:rPr>
        <w:t xml:space="preserve">UL </w:t>
      </w:r>
      <w:r>
        <w:rPr>
          <w:rFonts w:ascii="Arial" w:hAnsi="Arial" w:cs="Arial"/>
          <w:sz w:val="20"/>
          <w:szCs w:val="20"/>
        </w:rPr>
        <w:t>duty-cycle solution with ΔP</w:t>
      </w:r>
      <w:r w:rsidRPr="00814317">
        <w:rPr>
          <w:rFonts w:ascii="Arial" w:hAnsi="Arial" w:cs="Arial"/>
          <w:sz w:val="20"/>
          <w:szCs w:val="20"/>
          <w:vertAlign w:val="subscript"/>
        </w:rPr>
        <w:t>PowerClass</w:t>
      </w:r>
      <w:r>
        <w:rPr>
          <w:rFonts w:ascii="Arial" w:hAnsi="Arial" w:cs="Arial"/>
          <w:sz w:val="20"/>
          <w:szCs w:val="20"/>
        </w:rPr>
        <w:t xml:space="preserve"> has </w:t>
      </w:r>
      <w:r w:rsidR="00554DDE">
        <w:rPr>
          <w:rFonts w:ascii="Arial" w:hAnsi="Arial" w:cs="Arial"/>
          <w:sz w:val="20"/>
          <w:szCs w:val="20"/>
        </w:rPr>
        <w:t xml:space="preserve">been </w:t>
      </w:r>
      <w:r>
        <w:rPr>
          <w:rFonts w:ascii="Arial" w:hAnsi="Arial" w:cs="Arial"/>
          <w:sz w:val="20"/>
          <w:szCs w:val="20"/>
        </w:rPr>
        <w:t>caus</w:t>
      </w:r>
      <w:r w:rsidR="00554DDE">
        <w:rPr>
          <w:rFonts w:ascii="Arial" w:hAnsi="Arial" w:cs="Arial"/>
          <w:sz w:val="20"/>
          <w:szCs w:val="20"/>
        </w:rPr>
        <w:t>ing</w:t>
      </w:r>
      <w:r>
        <w:rPr>
          <w:rFonts w:ascii="Arial" w:hAnsi="Arial" w:cs="Arial"/>
          <w:sz w:val="20"/>
          <w:szCs w:val="20"/>
        </w:rPr>
        <w:t xml:space="preserve"> a misconception of the so-called “power class fallback” in the current specifications </w:t>
      </w:r>
      <w:r w:rsidR="00554DDE">
        <w:rPr>
          <w:rFonts w:ascii="Arial" w:hAnsi="Arial" w:cs="Arial"/>
          <w:sz w:val="20"/>
          <w:szCs w:val="20"/>
        </w:rPr>
        <w:t xml:space="preserve">where the </w:t>
      </w:r>
      <w:r w:rsidR="00554DDE" w:rsidRPr="00554DDE">
        <w:rPr>
          <w:rFonts w:ascii="Arial" w:hAnsi="Arial" w:cs="Arial"/>
          <w:sz w:val="20"/>
          <w:szCs w:val="20"/>
        </w:rPr>
        <w:t>UE configured maximum output power reduction would be mistakenly double counted</w:t>
      </w:r>
      <w:r w:rsidR="00554DDE">
        <w:rPr>
          <w:rFonts w:ascii="Arial" w:hAnsi="Arial" w:cs="Arial"/>
          <w:sz w:val="20"/>
          <w:szCs w:val="20"/>
        </w:rPr>
        <w:t>, as brought up in [3].</w:t>
      </w:r>
    </w:p>
    <w:p w14:paraId="7E23392B" w14:textId="77777777" w:rsidR="00554DDE" w:rsidRDefault="00554DDE" w:rsidP="00554DDE">
      <w:pPr>
        <w:jc w:val="both"/>
        <w:rPr>
          <w:rFonts w:ascii="Arial" w:hAnsi="Arial" w:cs="Arial"/>
          <w:sz w:val="20"/>
          <w:szCs w:val="20"/>
        </w:rPr>
      </w:pPr>
    </w:p>
    <w:p w14:paraId="6E693585" w14:textId="092022CC" w:rsidR="009F7AAA" w:rsidRDefault="009F7AAA" w:rsidP="009F7AA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6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he UL duty-cycle solution with 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has been causing a misconception of the so-called “power class fallback” in the current specifications where the UE configured maximum output power reduction would be mistakenly double counted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3CE843F3" w14:textId="77777777" w:rsidR="009F7AAA" w:rsidRDefault="009F7AAA" w:rsidP="00554DDE">
      <w:pPr>
        <w:jc w:val="both"/>
        <w:rPr>
          <w:rFonts w:ascii="Arial" w:hAnsi="Arial" w:cs="Arial"/>
          <w:sz w:val="20"/>
          <w:szCs w:val="20"/>
        </w:rPr>
      </w:pPr>
    </w:p>
    <w:p w14:paraId="1AB2B657" w14:textId="61EA5C8D" w:rsidR="00D750DD" w:rsidRDefault="00554DDE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Third, the </w:t>
      </w:r>
      <w:r w:rsidR="00644EC4">
        <w:rPr>
          <w:rFonts w:ascii="Arial" w:hAnsi="Arial" w:cs="Arial"/>
          <w:sz w:val="20"/>
          <w:szCs w:val="20"/>
        </w:rPr>
        <w:t xml:space="preserve">UL </w:t>
      </w:r>
      <w:r>
        <w:rPr>
          <w:rFonts w:ascii="Arial" w:hAnsi="Arial" w:cs="Arial"/>
          <w:sz w:val="20"/>
          <w:szCs w:val="20"/>
        </w:rPr>
        <w:t xml:space="preserve">duty-cycle formula </w:t>
      </w:r>
      <w:r w:rsidR="00D50166">
        <w:rPr>
          <w:rFonts w:ascii="Arial" w:hAnsi="Arial" w:cs="Arial"/>
          <w:sz w:val="20"/>
          <w:szCs w:val="20"/>
        </w:rPr>
        <w:t>for inter-band UL CA/DC were</w:t>
      </w:r>
      <w:r>
        <w:rPr>
          <w:rFonts w:ascii="Arial" w:hAnsi="Arial" w:cs="Arial"/>
          <w:sz w:val="20"/>
          <w:szCs w:val="20"/>
        </w:rPr>
        <w:t xml:space="preserve"> </w:t>
      </w:r>
      <w:r w:rsidR="00D50166">
        <w:rPr>
          <w:rFonts w:ascii="Arial" w:hAnsi="Arial" w:cs="Arial"/>
          <w:sz w:val="20"/>
          <w:szCs w:val="20"/>
        </w:rPr>
        <w:t>less straightforward</w:t>
      </w:r>
      <w:r w:rsidR="00D750DD">
        <w:rPr>
          <w:rFonts w:ascii="Arial" w:hAnsi="Arial" w:cs="Arial"/>
          <w:sz w:val="20"/>
          <w:szCs w:val="20"/>
        </w:rPr>
        <w:t xml:space="preserve"> to comprehend which </w:t>
      </w:r>
      <w:r w:rsidR="00D50166">
        <w:rPr>
          <w:rFonts w:ascii="Arial" w:hAnsi="Arial" w:cs="Arial"/>
          <w:sz w:val="20"/>
          <w:szCs w:val="20"/>
        </w:rPr>
        <w:t>had taken</w:t>
      </w:r>
      <w:r w:rsidR="00D750DD">
        <w:rPr>
          <w:rFonts w:ascii="Arial" w:hAnsi="Arial" w:cs="Arial"/>
          <w:sz w:val="20"/>
          <w:szCs w:val="20"/>
        </w:rPr>
        <w:t xml:space="preserve"> </w:t>
      </w:r>
      <w:r w:rsidR="00D50166">
        <w:rPr>
          <w:rFonts w:ascii="Arial" w:hAnsi="Arial" w:cs="Arial"/>
          <w:sz w:val="20"/>
          <w:szCs w:val="20"/>
        </w:rPr>
        <w:t>rather lengthy discussions</w:t>
      </w:r>
      <w:r w:rsidR="00D750DD">
        <w:rPr>
          <w:rFonts w:ascii="Arial" w:hAnsi="Arial" w:cs="Arial"/>
          <w:sz w:val="20"/>
          <w:szCs w:val="20"/>
        </w:rPr>
        <w:t xml:space="preserve"> in RAN4 to</w:t>
      </w:r>
      <w:r w:rsidR="00D50166">
        <w:rPr>
          <w:rFonts w:ascii="Arial" w:hAnsi="Arial" w:cs="Arial"/>
          <w:sz w:val="20"/>
          <w:szCs w:val="20"/>
        </w:rPr>
        <w:t xml:space="preserve"> agree on how to specify the </w:t>
      </w:r>
      <w:r w:rsidR="00644EC4">
        <w:rPr>
          <w:rFonts w:ascii="Arial" w:hAnsi="Arial" w:cs="Arial"/>
          <w:sz w:val="20"/>
          <w:szCs w:val="20"/>
        </w:rPr>
        <w:t>requirements.</w:t>
      </w:r>
      <w:r w:rsidR="00D750DD">
        <w:rPr>
          <w:rFonts w:ascii="Arial" w:hAnsi="Arial" w:cs="Arial"/>
          <w:sz w:val="20"/>
          <w:szCs w:val="20"/>
        </w:rPr>
        <w:t xml:space="preserve"> </w:t>
      </w:r>
    </w:p>
    <w:p w14:paraId="78DB4721" w14:textId="77777777" w:rsidR="00D750DD" w:rsidRDefault="00D750DD" w:rsidP="00D750DD">
      <w:pPr>
        <w:jc w:val="both"/>
        <w:rPr>
          <w:rFonts w:ascii="Arial" w:hAnsi="Arial" w:cs="Arial"/>
          <w:sz w:val="20"/>
          <w:szCs w:val="20"/>
        </w:rPr>
      </w:pPr>
    </w:p>
    <w:p w14:paraId="370D32D8" w14:textId="139446EC" w:rsidR="009F7AAA" w:rsidRDefault="009F7AAA" w:rsidP="009F7AA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7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he UL duty-cycle formula for inter-band UL CA/DC were less straightforward to comprehend which had taken rather lengthy discussions in RAN4 to agree on how to specify the requirements.</w:t>
      </w:r>
    </w:p>
    <w:p w14:paraId="729B6AB8" w14:textId="77777777" w:rsidR="009F7AAA" w:rsidRDefault="009F7AAA" w:rsidP="00D750DD">
      <w:pPr>
        <w:jc w:val="both"/>
        <w:rPr>
          <w:rFonts w:ascii="Arial" w:hAnsi="Arial" w:cs="Arial"/>
          <w:sz w:val="20"/>
          <w:szCs w:val="20"/>
        </w:rPr>
      </w:pPr>
    </w:p>
    <w:p w14:paraId="54EEBC24" w14:textId="77777777" w:rsidR="00644EC4" w:rsidRDefault="00D750DD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Forth, since ΔP</w:t>
      </w:r>
      <w:r w:rsidRPr="00814317">
        <w:rPr>
          <w:rFonts w:ascii="Arial" w:hAnsi="Arial" w:cs="Arial"/>
          <w:sz w:val="20"/>
          <w:szCs w:val="20"/>
          <w:vertAlign w:val="subscript"/>
        </w:rPr>
        <w:t>PowerClass</w:t>
      </w:r>
      <w:r>
        <w:rPr>
          <w:rFonts w:ascii="Arial" w:hAnsi="Arial" w:cs="Arial"/>
          <w:sz w:val="20"/>
          <w:szCs w:val="20"/>
        </w:rPr>
        <w:t xml:space="preserve"> can only be 3dB or 6dB, the </w:t>
      </w:r>
      <w:r w:rsidR="00644EC4">
        <w:rPr>
          <w:rFonts w:ascii="Arial" w:hAnsi="Arial" w:cs="Arial"/>
          <w:sz w:val="20"/>
          <w:szCs w:val="20"/>
        </w:rPr>
        <w:t xml:space="preserve">UL </w:t>
      </w:r>
      <w:r>
        <w:rPr>
          <w:rFonts w:ascii="Arial" w:hAnsi="Arial" w:cs="Arial"/>
          <w:sz w:val="20"/>
          <w:szCs w:val="20"/>
        </w:rPr>
        <w:t xml:space="preserve">duty-cycle approach would not be </w:t>
      </w:r>
      <w:r w:rsidR="00993A88">
        <w:rPr>
          <w:rFonts w:ascii="Arial" w:hAnsi="Arial" w:cs="Arial"/>
          <w:sz w:val="20"/>
          <w:szCs w:val="20"/>
        </w:rPr>
        <w:t xml:space="preserve">applicable to inter-band UL combinations supporting </w:t>
      </w:r>
      <w:r w:rsidR="00993A88" w:rsidRPr="00993A88">
        <w:rPr>
          <w:rFonts w:ascii="Arial" w:hAnsi="Arial" w:cs="Arial"/>
          <w:i/>
          <w:iCs/>
          <w:sz w:val="20"/>
          <w:szCs w:val="20"/>
        </w:rPr>
        <w:t>higherPowerLimit-r17</w:t>
      </w:r>
      <w:r w:rsidR="00993A88">
        <w:rPr>
          <w:rFonts w:ascii="Arial" w:hAnsi="Arial" w:cs="Arial"/>
          <w:i/>
          <w:iCs/>
          <w:sz w:val="20"/>
          <w:szCs w:val="20"/>
        </w:rPr>
        <w:t xml:space="preserve"> </w:t>
      </w:r>
      <w:r w:rsidR="00993A88" w:rsidRPr="00993A88">
        <w:rPr>
          <w:rFonts w:ascii="Arial" w:hAnsi="Arial" w:cs="Arial"/>
          <w:sz w:val="20"/>
          <w:szCs w:val="20"/>
        </w:rPr>
        <w:t>or</w:t>
      </w:r>
      <w:r w:rsidR="00993A88">
        <w:rPr>
          <w:rFonts w:ascii="Arial" w:hAnsi="Arial" w:cs="Arial"/>
          <w:sz w:val="20"/>
          <w:szCs w:val="20"/>
        </w:rPr>
        <w:t xml:space="preserve"> </w:t>
      </w:r>
      <w:r w:rsidR="00D50166" w:rsidRPr="00D50166">
        <w:rPr>
          <w:rFonts w:ascii="Arial" w:hAnsi="Arial" w:cs="Arial"/>
          <w:i/>
          <w:iCs/>
          <w:sz w:val="20"/>
          <w:szCs w:val="20"/>
        </w:rPr>
        <w:t>higherPowerLimitMRDC-r17</w:t>
      </w:r>
      <w:r w:rsidR="00D50166">
        <w:rPr>
          <w:rFonts w:ascii="Arial" w:hAnsi="Arial" w:cs="Arial"/>
          <w:sz w:val="20"/>
          <w:szCs w:val="20"/>
        </w:rPr>
        <w:t xml:space="preserve"> </w:t>
      </w:r>
      <w:r w:rsidR="00644EC4">
        <w:rPr>
          <w:rFonts w:ascii="Arial" w:hAnsi="Arial" w:cs="Arial"/>
          <w:sz w:val="20"/>
          <w:szCs w:val="20"/>
        </w:rPr>
        <w:t>for which RAN4 has agreed to only use P-MPR for SAR mitigation.</w:t>
      </w:r>
    </w:p>
    <w:p w14:paraId="5A75E8B7" w14:textId="77777777" w:rsidR="00644EC4" w:rsidRDefault="00644EC4" w:rsidP="00644EC4">
      <w:pPr>
        <w:jc w:val="both"/>
        <w:rPr>
          <w:rFonts w:ascii="Arial" w:hAnsi="Arial" w:cs="Arial"/>
          <w:sz w:val="20"/>
          <w:szCs w:val="20"/>
        </w:rPr>
      </w:pPr>
    </w:p>
    <w:p w14:paraId="2DB73CF9" w14:textId="1783CBE6" w:rsidR="009F7AAA" w:rsidRDefault="009F7AAA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8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he UL duty-cycle approach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with 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would not be applicable to inter-band UL combinations supporting </w:t>
      </w:r>
      <w:r w:rsidRPr="009F7AAA">
        <w:rPr>
          <w:rFonts w:ascii="Arial" w:hAnsi="Arial" w:cs="Arial"/>
          <w:b/>
          <w:i/>
          <w:iCs/>
          <w:sz w:val="20"/>
          <w:szCs w:val="20"/>
        </w:rPr>
        <w:t>higherPowerLimit-r17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or </w:t>
      </w:r>
      <w:r w:rsidRPr="009F7AAA">
        <w:rPr>
          <w:rFonts w:ascii="Arial" w:hAnsi="Arial" w:cs="Arial"/>
          <w:b/>
          <w:i/>
          <w:iCs/>
          <w:sz w:val="20"/>
          <w:szCs w:val="20"/>
        </w:rPr>
        <w:t>higherPowerLimitMRDC-r17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for which RAN4 has agreed to only use P-MPR for SAR mitigation.</w:t>
      </w:r>
    </w:p>
    <w:p w14:paraId="4973C52E" w14:textId="77777777" w:rsidR="009F7AAA" w:rsidRDefault="009F7AAA" w:rsidP="009F7AAA">
      <w:pPr>
        <w:jc w:val="both"/>
        <w:rPr>
          <w:rFonts w:ascii="Arial" w:hAnsi="Arial" w:cs="Arial"/>
          <w:sz w:val="20"/>
          <w:szCs w:val="20"/>
        </w:rPr>
      </w:pPr>
    </w:p>
    <w:p w14:paraId="78DB898C" w14:textId="69AAF060" w:rsidR="00B77BF2" w:rsidRDefault="00644EC4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Owing to the above drawbacks,</w:t>
      </w:r>
      <w:r w:rsidR="00BE12EB">
        <w:rPr>
          <w:rFonts w:ascii="Arial" w:hAnsi="Arial" w:cs="Arial"/>
          <w:sz w:val="20"/>
          <w:szCs w:val="20"/>
        </w:rPr>
        <w:t xml:space="preserve"> it is to our understanding that</w:t>
      </w:r>
      <w:r w:rsidR="00BE12EB" w:rsidRPr="00BE12EB">
        <w:rPr>
          <w:rFonts w:ascii="Arial" w:hAnsi="Arial" w:cs="Arial"/>
          <w:bCs/>
          <w:sz w:val="20"/>
          <w:szCs w:val="20"/>
        </w:rPr>
        <w:t xml:space="preserve"> </w:t>
      </w:r>
      <w:r w:rsidR="00BE12EB">
        <w:rPr>
          <w:rFonts w:ascii="Arial" w:hAnsi="Arial" w:cs="Arial"/>
          <w:bCs/>
          <w:sz w:val="20"/>
          <w:szCs w:val="20"/>
        </w:rPr>
        <w:t xml:space="preserve">the UL duty-cycle solution with </w:t>
      </w:r>
      <w:r w:rsidR="00BE12EB">
        <w:rPr>
          <w:rFonts w:ascii="Arial" w:hAnsi="Arial" w:cs="Arial"/>
          <w:sz w:val="20"/>
          <w:szCs w:val="20"/>
        </w:rPr>
        <w:t>ΔP</w:t>
      </w:r>
      <w:r w:rsidR="00BE12EB" w:rsidRPr="00814317">
        <w:rPr>
          <w:rFonts w:ascii="Arial" w:hAnsi="Arial" w:cs="Arial"/>
          <w:sz w:val="20"/>
          <w:szCs w:val="20"/>
          <w:vertAlign w:val="subscript"/>
        </w:rPr>
        <w:t>PowerClass</w:t>
      </w:r>
      <w:r w:rsidR="00BE12EB" w:rsidRPr="00BE12EB">
        <w:rPr>
          <w:rFonts w:ascii="Arial" w:hAnsi="Arial" w:cs="Arial"/>
          <w:bCs/>
          <w:sz w:val="20"/>
          <w:szCs w:val="20"/>
        </w:rPr>
        <w:t xml:space="preserve"> has never been</w:t>
      </w:r>
      <w:r w:rsidR="00BE12EB">
        <w:rPr>
          <w:rFonts w:ascii="Arial" w:hAnsi="Arial" w:cs="Arial"/>
          <w:bCs/>
          <w:sz w:val="20"/>
          <w:szCs w:val="20"/>
        </w:rPr>
        <w:t xml:space="preserve"> practically </w:t>
      </w:r>
      <w:r w:rsidR="00BE12EB" w:rsidRPr="00BE12EB">
        <w:rPr>
          <w:rFonts w:ascii="Arial" w:hAnsi="Arial" w:cs="Arial"/>
          <w:bCs/>
          <w:sz w:val="20"/>
          <w:szCs w:val="20"/>
        </w:rPr>
        <w:t>used by any UE in the field to mitigate SAR issue</w:t>
      </w:r>
      <w:r w:rsidR="00BE12EB">
        <w:rPr>
          <w:rFonts w:ascii="Arial" w:hAnsi="Arial" w:cs="Arial"/>
          <w:bCs/>
          <w:sz w:val="20"/>
          <w:szCs w:val="20"/>
        </w:rPr>
        <w:t xml:space="preserve">. </w:t>
      </w:r>
      <w:r w:rsidR="00BE12EB">
        <w:rPr>
          <w:rFonts w:ascii="Arial" w:hAnsi="Arial" w:cs="Arial"/>
          <w:sz w:val="20"/>
          <w:szCs w:val="20"/>
        </w:rPr>
        <w:t xml:space="preserve">On the other hand, there is also no conformance test case to verify the requirements. </w:t>
      </w:r>
      <w:r w:rsidR="00C9378E">
        <w:rPr>
          <w:rFonts w:ascii="Arial" w:hAnsi="Arial" w:cs="Arial"/>
          <w:sz w:val="20"/>
          <w:szCs w:val="20"/>
        </w:rPr>
        <w:t>As a result, in our view it would not be worth RAN4’s time and efforts to continue introducing UL duty-cycle based solution with ΔP</w:t>
      </w:r>
      <w:r w:rsidR="00C9378E" w:rsidRPr="00814317">
        <w:rPr>
          <w:rFonts w:ascii="Arial" w:hAnsi="Arial" w:cs="Arial"/>
          <w:sz w:val="20"/>
          <w:szCs w:val="20"/>
          <w:vertAlign w:val="subscript"/>
        </w:rPr>
        <w:t>PowerClass</w:t>
      </w:r>
      <w:r w:rsidR="00C9378E">
        <w:rPr>
          <w:rFonts w:ascii="Arial" w:hAnsi="Arial" w:cs="Arial"/>
          <w:sz w:val="20"/>
          <w:szCs w:val="20"/>
        </w:rPr>
        <w:t xml:space="preserve"> for any new HPUE CA/DC UL configuration in Rel-19 and going forward.  </w:t>
      </w:r>
      <w:r w:rsidR="00554DDE">
        <w:rPr>
          <w:rFonts w:ascii="Arial" w:hAnsi="Arial" w:cs="Arial"/>
          <w:sz w:val="20"/>
          <w:szCs w:val="20"/>
        </w:rPr>
        <w:t xml:space="preserve"> </w:t>
      </w:r>
      <w:r w:rsidR="00596836">
        <w:rPr>
          <w:rFonts w:ascii="Arial" w:hAnsi="Arial" w:cs="Arial"/>
          <w:sz w:val="20"/>
          <w:szCs w:val="20"/>
        </w:rPr>
        <w:t xml:space="preserve">  </w:t>
      </w:r>
      <w:r w:rsidR="00F70628">
        <w:rPr>
          <w:rFonts w:ascii="Arial" w:hAnsi="Arial" w:cs="Arial"/>
          <w:sz w:val="20"/>
          <w:szCs w:val="20"/>
        </w:rPr>
        <w:t xml:space="preserve"> </w:t>
      </w:r>
      <w:r w:rsidR="00F70628">
        <w:rPr>
          <w:rFonts w:ascii="Arial" w:hAnsi="Arial" w:cs="Arial"/>
          <w:bCs/>
          <w:sz w:val="20"/>
          <w:szCs w:val="20"/>
        </w:rPr>
        <w:t xml:space="preserve">   </w:t>
      </w:r>
      <w:r w:rsidR="000816E4">
        <w:rPr>
          <w:rFonts w:ascii="Arial" w:hAnsi="Arial" w:cs="Arial"/>
          <w:bCs/>
          <w:sz w:val="20"/>
          <w:szCs w:val="20"/>
        </w:rPr>
        <w:t xml:space="preserve"> </w:t>
      </w:r>
      <w:r w:rsidR="003B308D">
        <w:rPr>
          <w:rFonts w:ascii="Arial" w:hAnsi="Arial" w:cs="Arial"/>
          <w:bCs/>
          <w:sz w:val="20"/>
          <w:szCs w:val="20"/>
        </w:rPr>
        <w:t xml:space="preserve">  </w:t>
      </w:r>
      <w:r w:rsidR="007C1349">
        <w:rPr>
          <w:rFonts w:ascii="Arial" w:hAnsi="Arial" w:cs="Arial"/>
          <w:bCs/>
          <w:sz w:val="20"/>
          <w:szCs w:val="20"/>
        </w:rPr>
        <w:t xml:space="preserve">  </w:t>
      </w:r>
      <w:r w:rsidR="005D5C72">
        <w:rPr>
          <w:rFonts w:ascii="Arial" w:hAnsi="Arial" w:cs="Arial"/>
          <w:bCs/>
          <w:sz w:val="20"/>
          <w:szCs w:val="20"/>
        </w:rPr>
        <w:t xml:space="preserve">    </w:t>
      </w:r>
      <w:r w:rsidR="002A460E">
        <w:rPr>
          <w:rFonts w:ascii="Arial" w:hAnsi="Arial" w:cs="Arial"/>
          <w:bCs/>
          <w:sz w:val="20"/>
          <w:szCs w:val="20"/>
        </w:rPr>
        <w:t xml:space="preserve">  </w:t>
      </w:r>
      <w:r w:rsidR="00D02D5A">
        <w:rPr>
          <w:rFonts w:ascii="Arial" w:hAnsi="Arial" w:cs="Arial"/>
          <w:bCs/>
          <w:sz w:val="20"/>
          <w:szCs w:val="20"/>
        </w:rPr>
        <w:t xml:space="preserve">    </w:t>
      </w:r>
      <w:r w:rsidR="00FD3F5B">
        <w:rPr>
          <w:rFonts w:ascii="Arial" w:hAnsi="Arial" w:cs="Arial"/>
          <w:bCs/>
          <w:sz w:val="20"/>
          <w:szCs w:val="20"/>
        </w:rPr>
        <w:t xml:space="preserve">   </w:t>
      </w:r>
      <w:r w:rsidR="00B935F2">
        <w:rPr>
          <w:rFonts w:ascii="Arial" w:hAnsi="Arial" w:cs="Arial"/>
          <w:bCs/>
          <w:sz w:val="20"/>
          <w:szCs w:val="20"/>
        </w:rPr>
        <w:t xml:space="preserve"> </w:t>
      </w:r>
      <w:r w:rsidR="00790B2B">
        <w:rPr>
          <w:rFonts w:ascii="Arial" w:hAnsi="Arial" w:cs="Arial"/>
          <w:bCs/>
          <w:sz w:val="20"/>
          <w:szCs w:val="20"/>
        </w:rPr>
        <w:t xml:space="preserve"> </w:t>
      </w:r>
      <w:r w:rsidR="003B270B">
        <w:rPr>
          <w:rFonts w:ascii="Arial" w:hAnsi="Arial" w:cs="Arial"/>
          <w:bCs/>
          <w:sz w:val="20"/>
          <w:szCs w:val="20"/>
        </w:rPr>
        <w:t xml:space="preserve"> </w:t>
      </w:r>
      <w:r w:rsidR="00191285">
        <w:rPr>
          <w:rFonts w:ascii="Arial" w:hAnsi="Arial" w:cs="Arial"/>
          <w:bCs/>
          <w:sz w:val="20"/>
          <w:szCs w:val="20"/>
        </w:rPr>
        <w:t xml:space="preserve"> </w:t>
      </w:r>
    </w:p>
    <w:p w14:paraId="710B4D47" w14:textId="77777777" w:rsidR="00B77BF2" w:rsidRDefault="00B77BF2" w:rsidP="00B77BF2">
      <w:pPr>
        <w:jc w:val="both"/>
        <w:rPr>
          <w:rFonts w:ascii="Arial" w:hAnsi="Arial" w:cs="Arial"/>
          <w:bCs/>
          <w:sz w:val="20"/>
          <w:szCs w:val="20"/>
        </w:rPr>
      </w:pPr>
    </w:p>
    <w:p w14:paraId="794E9F50" w14:textId="3C58F6F2" w:rsidR="00191285" w:rsidRPr="00191285" w:rsidRDefault="009F7AAA" w:rsidP="008C6C35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9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he UL duty-cycle solution with 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has never been practically used by any UE in the field to mitigate SAR issue.</w:t>
      </w:r>
    </w:p>
    <w:p w14:paraId="14D0D747" w14:textId="77777777" w:rsidR="00191285" w:rsidRDefault="00191285" w:rsidP="00191285">
      <w:pPr>
        <w:jc w:val="both"/>
        <w:rPr>
          <w:rFonts w:ascii="Arial" w:hAnsi="Arial" w:cs="Arial"/>
          <w:bCs/>
          <w:sz w:val="20"/>
          <w:szCs w:val="20"/>
        </w:rPr>
      </w:pPr>
    </w:p>
    <w:p w14:paraId="2FF6AC13" w14:textId="49239D1C" w:rsidR="00191285" w:rsidRPr="00191285" w:rsidRDefault="009F7AAA" w:rsidP="00191285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10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here is no conformance test case to verify the UL duty-cycle with 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requirements.</w:t>
      </w:r>
    </w:p>
    <w:p w14:paraId="61DA4889" w14:textId="77777777" w:rsidR="00562F7C" w:rsidRDefault="00562F7C" w:rsidP="00562F7C">
      <w:pPr>
        <w:jc w:val="both"/>
        <w:rPr>
          <w:rFonts w:ascii="Arial" w:hAnsi="Arial" w:cs="Arial"/>
          <w:bCs/>
          <w:sz w:val="20"/>
          <w:szCs w:val="20"/>
        </w:rPr>
      </w:pPr>
    </w:p>
    <w:p w14:paraId="308C3FA6" w14:textId="1E8FEE55" w:rsidR="003F6B7C" w:rsidRDefault="003F6B7C" w:rsidP="003F6B7C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191285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 w:rsidR="009F7AAA">
        <w:rPr>
          <w:rFonts w:ascii="Arial" w:hAnsi="Arial" w:cs="Arial"/>
          <w:b/>
          <w:i/>
          <w:iCs/>
          <w:sz w:val="20"/>
          <w:szCs w:val="20"/>
        </w:rPr>
        <w:t>11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9F7AAA">
        <w:rPr>
          <w:rFonts w:ascii="Arial" w:hAnsi="Arial" w:cs="Arial"/>
          <w:bCs/>
          <w:i/>
          <w:iCs/>
          <w:sz w:val="20"/>
          <w:szCs w:val="20"/>
        </w:rPr>
        <w:t>I</w:t>
      </w:r>
      <w:r w:rsidR="009F7AAA" w:rsidRPr="009F7AAA">
        <w:rPr>
          <w:rFonts w:ascii="Arial" w:hAnsi="Arial" w:cs="Arial"/>
          <w:bCs/>
          <w:i/>
          <w:iCs/>
          <w:sz w:val="20"/>
          <w:szCs w:val="20"/>
        </w:rPr>
        <w:t xml:space="preserve">t would not be worth RAN4’s time and efforts to continue introducing UL duty-cycle </w:t>
      </w:r>
      <w:r w:rsidR="00B80498">
        <w:rPr>
          <w:rFonts w:ascii="Arial" w:hAnsi="Arial" w:cs="Arial"/>
          <w:bCs/>
          <w:i/>
          <w:iCs/>
          <w:sz w:val="20"/>
          <w:szCs w:val="20"/>
        </w:rPr>
        <w:t xml:space="preserve">with </w:t>
      </w:r>
      <w:r w:rsidR="00B80498" w:rsidRPr="009F7AAA">
        <w:rPr>
          <w:rFonts w:ascii="Arial" w:hAnsi="Arial" w:cs="Arial"/>
          <w:bCs/>
          <w:i/>
          <w:iCs/>
          <w:sz w:val="20"/>
          <w:szCs w:val="20"/>
        </w:rPr>
        <w:t>ΔP</w:t>
      </w:r>
      <w:r w:rsidR="00B80498"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="00B80498" w:rsidRPr="009F7AAA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9F7AAA" w:rsidRPr="009F7AAA">
        <w:rPr>
          <w:rFonts w:ascii="Arial" w:hAnsi="Arial" w:cs="Arial"/>
          <w:bCs/>
          <w:i/>
          <w:iCs/>
          <w:sz w:val="20"/>
          <w:szCs w:val="20"/>
        </w:rPr>
        <w:t xml:space="preserve">based </w:t>
      </w:r>
      <w:r w:rsidR="00B80498">
        <w:rPr>
          <w:rFonts w:ascii="Arial" w:hAnsi="Arial" w:cs="Arial"/>
          <w:bCs/>
          <w:i/>
          <w:iCs/>
          <w:sz w:val="20"/>
          <w:szCs w:val="20"/>
        </w:rPr>
        <w:t xml:space="preserve">SAR </w:t>
      </w:r>
      <w:r w:rsidR="009F7AAA" w:rsidRPr="009F7AAA">
        <w:rPr>
          <w:rFonts w:ascii="Arial" w:hAnsi="Arial" w:cs="Arial"/>
          <w:bCs/>
          <w:i/>
          <w:iCs/>
          <w:sz w:val="20"/>
          <w:szCs w:val="20"/>
        </w:rPr>
        <w:t>solution for any new HPUE CA/DC UL configuration in Rel-19 and going forward.</w:t>
      </w:r>
    </w:p>
    <w:p w14:paraId="06296836" w14:textId="77777777" w:rsidR="008979DE" w:rsidRDefault="008979DE" w:rsidP="008979DE">
      <w:pPr>
        <w:jc w:val="both"/>
        <w:rPr>
          <w:rFonts w:ascii="Arial" w:hAnsi="Arial" w:cs="Arial"/>
          <w:sz w:val="20"/>
          <w:szCs w:val="20"/>
        </w:rPr>
      </w:pPr>
    </w:p>
    <w:p w14:paraId="286B8A57" w14:textId="02932D40" w:rsidR="005E71D6" w:rsidRPr="00B50471" w:rsidRDefault="008979DE" w:rsidP="005E71D6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CE1748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B80498">
        <w:rPr>
          <w:rFonts w:ascii="Arial" w:hAnsi="Arial" w:cs="Arial"/>
          <w:bCs/>
          <w:i/>
          <w:iCs/>
          <w:sz w:val="20"/>
          <w:szCs w:val="20"/>
        </w:rPr>
        <w:t>RAN4 do not</w:t>
      </w:r>
      <w:r w:rsidR="00B80498" w:rsidRPr="00B80498">
        <w:rPr>
          <w:rFonts w:ascii="Arial" w:hAnsi="Arial" w:cs="Arial"/>
          <w:bCs/>
          <w:i/>
          <w:iCs/>
          <w:sz w:val="20"/>
          <w:szCs w:val="20"/>
        </w:rPr>
        <w:t xml:space="preserve"> consider UL duty-cycle </w:t>
      </w:r>
      <w:r w:rsidR="00B80498">
        <w:rPr>
          <w:rFonts w:ascii="Arial" w:hAnsi="Arial" w:cs="Arial"/>
          <w:bCs/>
          <w:i/>
          <w:iCs/>
          <w:sz w:val="20"/>
          <w:szCs w:val="20"/>
        </w:rPr>
        <w:t>with</w:t>
      </w:r>
      <w:r w:rsidR="00B80498" w:rsidRPr="00B80498">
        <w:rPr>
          <w:rFonts w:ascii="Arial" w:hAnsi="Arial" w:cs="Arial"/>
          <w:bCs/>
          <w:i/>
          <w:iCs/>
          <w:sz w:val="20"/>
          <w:szCs w:val="20"/>
        </w:rPr>
        <w:t xml:space="preserve"> ΔP</w:t>
      </w:r>
      <w:r w:rsidR="00B80498" w:rsidRPr="00B80498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="00B80498" w:rsidRPr="00B8049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B80498">
        <w:rPr>
          <w:rFonts w:ascii="Arial" w:hAnsi="Arial" w:cs="Arial"/>
          <w:bCs/>
          <w:i/>
          <w:iCs/>
          <w:sz w:val="20"/>
          <w:szCs w:val="20"/>
        </w:rPr>
        <w:t xml:space="preserve">based SAR solution </w:t>
      </w:r>
      <w:r w:rsidR="00B80498" w:rsidRPr="009F7AAA">
        <w:rPr>
          <w:rFonts w:ascii="Arial" w:hAnsi="Arial" w:cs="Arial"/>
          <w:bCs/>
          <w:i/>
          <w:iCs/>
          <w:sz w:val="20"/>
          <w:szCs w:val="20"/>
        </w:rPr>
        <w:t>for any new HPUE CA/DC UL configuration in Rel-19 and going forward.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936">
        <w:rPr>
          <w:rFonts w:ascii="Arial" w:hAnsi="Arial" w:cs="Arial"/>
          <w:sz w:val="20"/>
          <w:szCs w:val="20"/>
        </w:rPr>
        <w:t xml:space="preserve">  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4B4BB139" w:rsidR="006D7B72" w:rsidRPr="00BA50B0" w:rsidRDefault="00B80498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share our views on the SAR compliance aspect for HPUE CA/DC combinations and propose not to further consider UL duty-cycle with ΔP</w:t>
      </w:r>
      <w:r w:rsidRPr="00814317">
        <w:rPr>
          <w:rFonts w:ascii="Arial" w:hAnsi="Arial" w:cs="Arial"/>
          <w:sz w:val="20"/>
          <w:szCs w:val="20"/>
          <w:vertAlign w:val="subscript"/>
        </w:rPr>
        <w:t>PowerClass</w:t>
      </w:r>
      <w:r>
        <w:rPr>
          <w:rFonts w:ascii="Arial" w:hAnsi="Arial" w:cs="Arial"/>
          <w:sz w:val="20"/>
          <w:szCs w:val="20"/>
        </w:rPr>
        <w:t xml:space="preserve"> for SAR mitigation from Rel-19 and going forward.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C3C6533" w14:textId="5C0F5FE3" w:rsidR="008A3AE7" w:rsidRPr="00191285" w:rsidRDefault="00B80498" w:rsidP="008A3AE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>Observation 1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: The term “SAR” has never been officially defined in 3GPP specifications, instead, it is simply referred as the “applicable electromagnetic energy absorption requirements” but without explicit value specified.</w:t>
      </w:r>
    </w:p>
    <w:p w14:paraId="74033B5A" w14:textId="77777777" w:rsidR="008A3AE7" w:rsidRDefault="008A3AE7" w:rsidP="008A3AE7">
      <w:pPr>
        <w:jc w:val="both"/>
        <w:rPr>
          <w:rFonts w:ascii="Arial" w:hAnsi="Arial" w:cs="Arial"/>
          <w:bCs/>
          <w:sz w:val="20"/>
          <w:szCs w:val="20"/>
        </w:rPr>
      </w:pPr>
    </w:p>
    <w:p w14:paraId="53CC4062" w14:textId="77777777" w:rsidR="00B80498" w:rsidRDefault="00B80498" w:rsidP="00B80498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2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: In 3GPP, the SAR issue has been made more aware since the HPUE was first introduced in LTE for handheld devices.</w:t>
      </w:r>
    </w:p>
    <w:p w14:paraId="5DCEDF8B" w14:textId="77777777" w:rsidR="00B80498" w:rsidRDefault="00B80498" w:rsidP="00B80498">
      <w:pPr>
        <w:jc w:val="both"/>
        <w:rPr>
          <w:rFonts w:ascii="Arial" w:hAnsi="Arial" w:cs="Arial"/>
          <w:bCs/>
          <w:sz w:val="20"/>
          <w:szCs w:val="20"/>
        </w:rPr>
      </w:pPr>
    </w:p>
    <w:p w14:paraId="1169ABB4" w14:textId="6462BF92" w:rsidR="008A3AE7" w:rsidRDefault="00B80498" w:rsidP="00B80498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3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: In fact, even before the introduction of HPUE, SAR mitigation has already been considered in 3GPP specifications, which is known as the P-MPR solution.</w:t>
      </w:r>
    </w:p>
    <w:p w14:paraId="1DECDE60" w14:textId="77777777" w:rsidR="008A3AE7" w:rsidRDefault="008A3AE7" w:rsidP="008A3AE7">
      <w:pPr>
        <w:jc w:val="both"/>
        <w:rPr>
          <w:rFonts w:ascii="Arial" w:hAnsi="Arial" w:cs="Arial"/>
          <w:bCs/>
          <w:sz w:val="20"/>
          <w:szCs w:val="20"/>
        </w:rPr>
      </w:pPr>
    </w:p>
    <w:p w14:paraId="0620BA8E" w14:textId="7B956918" w:rsidR="009F2575" w:rsidRPr="009C58C3" w:rsidRDefault="00B80498" w:rsidP="008A3AE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4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I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t has been realized that the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UL duty-cycle solution with 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ΔP</w:t>
      </w:r>
      <w:r w:rsidRPr="00BA4767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is rather inefficient in UL performance and the applicability is also quite limited, and yet with lots of downsides.</w:t>
      </w:r>
    </w:p>
    <w:p w14:paraId="30A18B31" w14:textId="77777777" w:rsidR="009F2575" w:rsidRDefault="009F2575" w:rsidP="009F2575">
      <w:pPr>
        <w:jc w:val="both"/>
        <w:rPr>
          <w:rFonts w:ascii="Arial" w:hAnsi="Arial" w:cs="Arial"/>
          <w:bCs/>
          <w:sz w:val="20"/>
          <w:szCs w:val="20"/>
        </w:rPr>
      </w:pPr>
    </w:p>
    <w:p w14:paraId="187FD83F" w14:textId="25C588B1" w:rsidR="007E3BEE" w:rsidRPr="00C57E50" w:rsidRDefault="008671F9" w:rsidP="009F2575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5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large step of power reduction ΔP</w:t>
      </w:r>
      <w:r w:rsidRPr="00BA4767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 during the UL transmission could potentially cause UL reception failure at gNB or impact the UL performance.</w:t>
      </w:r>
    </w:p>
    <w:p w14:paraId="6BED450C" w14:textId="77777777" w:rsidR="00C57E50" w:rsidRDefault="00C57E50" w:rsidP="007E3BEE">
      <w:pPr>
        <w:jc w:val="both"/>
        <w:rPr>
          <w:rFonts w:ascii="Arial" w:hAnsi="Arial" w:cs="Arial"/>
          <w:sz w:val="20"/>
          <w:szCs w:val="20"/>
        </w:rPr>
      </w:pPr>
    </w:p>
    <w:p w14:paraId="251938DD" w14:textId="5F66D4A4" w:rsidR="009F2575" w:rsidRDefault="008671F9" w:rsidP="009F2575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6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he UL duty-cycle solution with 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has been causing a misconception of the so-called “power class fallback” in the current specifications where the UE configured maximum output power reduction would be mistakenly double counted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53A72C02" w14:textId="77777777" w:rsidR="009F2575" w:rsidRPr="00BA5F24" w:rsidRDefault="009F2575" w:rsidP="009F2575">
      <w:pPr>
        <w:jc w:val="both"/>
        <w:rPr>
          <w:rFonts w:ascii="Arial" w:hAnsi="Arial" w:cs="Arial"/>
          <w:bCs/>
          <w:sz w:val="20"/>
          <w:szCs w:val="20"/>
        </w:rPr>
      </w:pPr>
    </w:p>
    <w:p w14:paraId="0E2051D4" w14:textId="6E069B45" w:rsidR="008A3AE7" w:rsidRDefault="008671F9" w:rsidP="008A3AE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7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he UL duty-cycle formula for inter-band UL CA/DC were less straightforward to comprehend which had taken rather lengthy discussions in RAN4 to agree on how to specify the requirements.</w:t>
      </w:r>
    </w:p>
    <w:p w14:paraId="08EFECB0" w14:textId="77777777" w:rsidR="008A3AE7" w:rsidRDefault="008A3AE7" w:rsidP="008A3AE7">
      <w:pPr>
        <w:jc w:val="both"/>
        <w:rPr>
          <w:rFonts w:ascii="Arial" w:hAnsi="Arial" w:cs="Arial"/>
          <w:sz w:val="20"/>
          <w:szCs w:val="20"/>
        </w:rPr>
      </w:pPr>
    </w:p>
    <w:p w14:paraId="3052D01F" w14:textId="04E3D4D5" w:rsidR="00472C4E" w:rsidRDefault="008671F9" w:rsidP="008A3AE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8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he UL duty-cycle approach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with 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would not be applicable to inter-band UL combinations supporting </w:t>
      </w:r>
      <w:r w:rsidRPr="009F7AAA">
        <w:rPr>
          <w:rFonts w:ascii="Arial" w:hAnsi="Arial" w:cs="Arial"/>
          <w:b/>
          <w:i/>
          <w:iCs/>
          <w:sz w:val="20"/>
          <w:szCs w:val="20"/>
        </w:rPr>
        <w:t>higherPowerLimit-r17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or </w:t>
      </w:r>
      <w:r w:rsidRPr="009F7AAA">
        <w:rPr>
          <w:rFonts w:ascii="Arial" w:hAnsi="Arial" w:cs="Arial"/>
          <w:b/>
          <w:i/>
          <w:iCs/>
          <w:sz w:val="20"/>
          <w:szCs w:val="20"/>
        </w:rPr>
        <w:t>higherPowerLimitMRDC-r17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for which RAN4 has agreed to only use P-MPR for SAR mitigation.</w:t>
      </w:r>
    </w:p>
    <w:p w14:paraId="0E20AF9D" w14:textId="77777777" w:rsidR="00472C4E" w:rsidRDefault="00472C4E" w:rsidP="009F2575">
      <w:pPr>
        <w:jc w:val="both"/>
        <w:rPr>
          <w:rFonts w:ascii="Arial" w:hAnsi="Arial" w:cs="Arial"/>
          <w:sz w:val="20"/>
          <w:szCs w:val="20"/>
        </w:rPr>
      </w:pPr>
    </w:p>
    <w:p w14:paraId="007FD7BB" w14:textId="77777777" w:rsidR="008671F9" w:rsidRPr="00191285" w:rsidRDefault="008671F9" w:rsidP="008671F9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9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he UL duty-cycle solution with 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has never been practically used by any UE in the field to mitigate SAR issue.</w:t>
      </w:r>
    </w:p>
    <w:p w14:paraId="4383C546" w14:textId="77777777" w:rsidR="008671F9" w:rsidRDefault="008671F9" w:rsidP="008671F9">
      <w:pPr>
        <w:jc w:val="both"/>
        <w:rPr>
          <w:rFonts w:ascii="Arial" w:hAnsi="Arial" w:cs="Arial"/>
          <w:bCs/>
          <w:sz w:val="20"/>
          <w:szCs w:val="20"/>
        </w:rPr>
      </w:pPr>
    </w:p>
    <w:p w14:paraId="3133EBF1" w14:textId="77777777" w:rsidR="008671F9" w:rsidRPr="00191285" w:rsidRDefault="008671F9" w:rsidP="008671F9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4767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10</w:t>
      </w:r>
      <w:r w:rsidRPr="00BA4767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here is no conformance test case to verify the UL duty-cycle with 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requirements.</w:t>
      </w:r>
    </w:p>
    <w:p w14:paraId="2FEF55DE" w14:textId="77777777" w:rsidR="008671F9" w:rsidRDefault="008671F9" w:rsidP="008671F9">
      <w:pPr>
        <w:jc w:val="both"/>
        <w:rPr>
          <w:rFonts w:ascii="Arial" w:hAnsi="Arial" w:cs="Arial"/>
          <w:bCs/>
          <w:sz w:val="20"/>
          <w:szCs w:val="20"/>
        </w:rPr>
      </w:pPr>
    </w:p>
    <w:p w14:paraId="79BF28A7" w14:textId="0BBDECE9" w:rsidR="008A3AE7" w:rsidRDefault="008671F9" w:rsidP="008671F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91285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11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I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t would not be worth RAN4’s time and efforts to continue introducing UL duty-cycle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with 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ΔP</w:t>
      </w:r>
      <w:r w:rsidRPr="009F7AAA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 xml:space="preserve"> based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SAR 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solution for any new HPUE CA/DC UL configuration in Rel-19 and going forward.</w:t>
      </w:r>
    </w:p>
    <w:p w14:paraId="35878488" w14:textId="77777777" w:rsidR="008A3AE7" w:rsidRDefault="008A3AE7" w:rsidP="008A3AE7">
      <w:pPr>
        <w:jc w:val="both"/>
        <w:rPr>
          <w:rFonts w:ascii="Arial" w:hAnsi="Arial" w:cs="Arial"/>
          <w:sz w:val="20"/>
          <w:szCs w:val="20"/>
        </w:rPr>
      </w:pPr>
    </w:p>
    <w:p w14:paraId="04EF9588" w14:textId="7B904C2C" w:rsidR="00472C4E" w:rsidRDefault="008671F9" w:rsidP="008A3AE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lastRenderedPageBreak/>
        <w:t>Proposal</w:t>
      </w:r>
      <w:r w:rsidRPr="00CE1748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RAN4 do not</w:t>
      </w:r>
      <w:r w:rsidRPr="00B80498">
        <w:rPr>
          <w:rFonts w:ascii="Arial" w:hAnsi="Arial" w:cs="Arial"/>
          <w:bCs/>
          <w:i/>
          <w:iCs/>
          <w:sz w:val="20"/>
          <w:szCs w:val="20"/>
        </w:rPr>
        <w:t xml:space="preserve"> consider UL duty-cycle </w:t>
      </w:r>
      <w:r>
        <w:rPr>
          <w:rFonts w:ascii="Arial" w:hAnsi="Arial" w:cs="Arial"/>
          <w:bCs/>
          <w:i/>
          <w:iCs/>
          <w:sz w:val="20"/>
          <w:szCs w:val="20"/>
        </w:rPr>
        <w:t>with</w:t>
      </w:r>
      <w:r w:rsidRPr="00B80498">
        <w:rPr>
          <w:rFonts w:ascii="Arial" w:hAnsi="Arial" w:cs="Arial"/>
          <w:bCs/>
          <w:i/>
          <w:iCs/>
          <w:sz w:val="20"/>
          <w:szCs w:val="20"/>
        </w:rPr>
        <w:t xml:space="preserve"> ΔP</w:t>
      </w:r>
      <w:r w:rsidRPr="00B80498">
        <w:rPr>
          <w:rFonts w:ascii="Arial" w:hAnsi="Arial" w:cs="Arial"/>
          <w:bCs/>
          <w:i/>
          <w:iCs/>
          <w:sz w:val="20"/>
          <w:szCs w:val="20"/>
          <w:vertAlign w:val="subscript"/>
        </w:rPr>
        <w:t>PowerClass</w:t>
      </w:r>
      <w:r w:rsidRPr="00B8049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based SAR solution </w:t>
      </w:r>
      <w:r w:rsidRPr="009F7AAA">
        <w:rPr>
          <w:rFonts w:ascii="Arial" w:hAnsi="Arial" w:cs="Arial"/>
          <w:bCs/>
          <w:i/>
          <w:iCs/>
          <w:sz w:val="20"/>
          <w:szCs w:val="20"/>
        </w:rPr>
        <w:t>for any new HPUE CA/DC UL configuration in Rel-19 and going forward.</w:t>
      </w:r>
    </w:p>
    <w:p w14:paraId="5D2DDC34" w14:textId="02A4DA11" w:rsidR="005E69AE" w:rsidRDefault="00987E57" w:rsidP="005E69AE">
      <w:pPr>
        <w:pStyle w:val="Heading1"/>
      </w:pPr>
      <w:r>
        <w:t>4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484A08D0" w:rsidR="0057672C" w:rsidRDefault="003E29F3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RP-240828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Pr="003E29F3">
        <w:rPr>
          <w:rFonts w:ascii="Arial" w:hAnsi="Arial" w:cs="Arial"/>
          <w:bCs/>
          <w:sz w:val="20"/>
          <w:szCs w:val="20"/>
        </w:rPr>
        <w:t>New WID: UE RF enhancements for NR FR1/FR2 and EN-DC, Phase 4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RAN4 Chair (Huawei)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103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3E29F3">
        <w:rPr>
          <w:rFonts w:ascii="Arial" w:hAnsi="Arial" w:cs="Arial"/>
          <w:bCs/>
          <w:sz w:val="20"/>
          <w:szCs w:val="20"/>
        </w:rPr>
        <w:t>Maastricht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680F8F">
        <w:rPr>
          <w:rFonts w:ascii="Arial" w:hAnsi="Arial" w:cs="Arial"/>
          <w:bCs/>
          <w:sz w:val="20"/>
          <w:szCs w:val="20"/>
        </w:rPr>
        <w:t>Netherlands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B9016C">
        <w:rPr>
          <w:rFonts w:ascii="Arial" w:hAnsi="Arial" w:cs="Arial"/>
          <w:bCs/>
          <w:sz w:val="20"/>
          <w:szCs w:val="20"/>
        </w:rPr>
        <w:t>March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18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B9016C">
        <w:rPr>
          <w:rFonts w:ascii="Arial" w:hAnsi="Arial" w:cs="Arial"/>
          <w:bCs/>
          <w:sz w:val="20"/>
          <w:szCs w:val="20"/>
        </w:rPr>
        <w:t>2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112B6A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112B6A">
        <w:rPr>
          <w:rFonts w:ascii="Arial" w:hAnsi="Arial" w:cs="Arial"/>
          <w:bCs/>
          <w:sz w:val="20"/>
          <w:szCs w:val="20"/>
        </w:rPr>
        <w:t>4</w:t>
      </w:r>
    </w:p>
    <w:p w14:paraId="6B45D8A2" w14:textId="7E72BBFE" w:rsidR="00C57E50" w:rsidRDefault="00CA510E" w:rsidP="00472C4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10E">
        <w:rPr>
          <w:rFonts w:ascii="Arial" w:hAnsi="Arial" w:cs="Arial"/>
          <w:bCs/>
          <w:sz w:val="20"/>
          <w:szCs w:val="20"/>
        </w:rPr>
        <w:t>R4-24</w:t>
      </w:r>
      <w:r w:rsidR="00727A5D">
        <w:rPr>
          <w:rFonts w:ascii="Arial" w:hAnsi="Arial" w:cs="Arial"/>
          <w:bCs/>
          <w:sz w:val="20"/>
          <w:szCs w:val="20"/>
        </w:rPr>
        <w:t>1</w:t>
      </w:r>
      <w:r w:rsidR="00D87CEF">
        <w:rPr>
          <w:rFonts w:ascii="Arial" w:hAnsi="Arial" w:cs="Arial"/>
          <w:bCs/>
          <w:sz w:val="20"/>
          <w:szCs w:val="20"/>
        </w:rPr>
        <w:t>4277</w:t>
      </w:r>
      <w:r w:rsidRPr="00CA510E">
        <w:rPr>
          <w:rFonts w:ascii="Arial" w:hAnsi="Arial" w:cs="Arial"/>
          <w:bCs/>
          <w:sz w:val="20"/>
          <w:szCs w:val="20"/>
        </w:rPr>
        <w:t xml:space="preserve"> “</w:t>
      </w:r>
      <w:r w:rsidR="00D87CEF" w:rsidRPr="00D87CEF">
        <w:rPr>
          <w:rFonts w:ascii="Arial" w:hAnsi="Arial" w:cs="Arial"/>
          <w:bCs/>
          <w:sz w:val="20"/>
          <w:szCs w:val="20"/>
        </w:rPr>
        <w:t>WF on HPUE for CA in TN</w:t>
      </w:r>
      <w:r w:rsidRPr="00CA510E">
        <w:rPr>
          <w:rFonts w:ascii="Arial" w:hAnsi="Arial" w:cs="Arial"/>
          <w:bCs/>
          <w:sz w:val="20"/>
          <w:szCs w:val="20"/>
        </w:rPr>
        <w:t xml:space="preserve">”, </w:t>
      </w:r>
      <w:r w:rsidR="005E1A8B">
        <w:rPr>
          <w:rFonts w:ascii="Arial" w:hAnsi="Arial" w:cs="Arial"/>
          <w:bCs/>
          <w:sz w:val="20"/>
          <w:szCs w:val="20"/>
        </w:rPr>
        <w:t>Samsung</w:t>
      </w:r>
      <w:r w:rsidRPr="00CA510E">
        <w:rPr>
          <w:rFonts w:ascii="Arial" w:hAnsi="Arial" w:cs="Arial"/>
          <w:bCs/>
          <w:sz w:val="20"/>
          <w:szCs w:val="20"/>
        </w:rPr>
        <w:t>, 3GPP TSG RAN WG4 Meeting #11</w:t>
      </w:r>
      <w:r w:rsidR="00D87CEF">
        <w:rPr>
          <w:rFonts w:ascii="Arial" w:hAnsi="Arial" w:cs="Arial"/>
          <w:bCs/>
          <w:sz w:val="20"/>
          <w:szCs w:val="20"/>
        </w:rPr>
        <w:t>2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D87CEF">
        <w:rPr>
          <w:rFonts w:ascii="Arial" w:hAnsi="Arial" w:cs="Arial"/>
          <w:bCs/>
          <w:sz w:val="20"/>
          <w:szCs w:val="20"/>
        </w:rPr>
        <w:t>Maastricht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D87CEF">
        <w:rPr>
          <w:rFonts w:ascii="Arial" w:hAnsi="Arial" w:cs="Arial"/>
          <w:bCs/>
          <w:sz w:val="20"/>
          <w:szCs w:val="20"/>
        </w:rPr>
        <w:t>Netherlands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D87CEF">
        <w:rPr>
          <w:rFonts w:ascii="Arial" w:hAnsi="Arial" w:cs="Arial"/>
          <w:bCs/>
          <w:sz w:val="20"/>
          <w:szCs w:val="20"/>
        </w:rPr>
        <w:t>August</w:t>
      </w:r>
      <w:r w:rsidRPr="00CA510E">
        <w:rPr>
          <w:rFonts w:ascii="Arial" w:hAnsi="Arial" w:cs="Arial"/>
          <w:bCs/>
          <w:sz w:val="20"/>
          <w:szCs w:val="20"/>
        </w:rPr>
        <w:t xml:space="preserve"> </w:t>
      </w:r>
      <w:r w:rsidR="00D87CEF">
        <w:rPr>
          <w:rFonts w:ascii="Arial" w:hAnsi="Arial" w:cs="Arial"/>
          <w:bCs/>
          <w:sz w:val="20"/>
          <w:szCs w:val="20"/>
        </w:rPr>
        <w:t>19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</w:t>
      </w:r>
      <w:r w:rsidR="00727A5D">
        <w:rPr>
          <w:rFonts w:ascii="Arial" w:hAnsi="Arial" w:cs="Arial"/>
          <w:bCs/>
          <w:sz w:val="20"/>
          <w:szCs w:val="20"/>
        </w:rPr>
        <w:t>2</w:t>
      </w:r>
      <w:r w:rsidR="00D87CEF">
        <w:rPr>
          <w:rFonts w:ascii="Arial" w:hAnsi="Arial" w:cs="Arial"/>
          <w:bCs/>
          <w:sz w:val="20"/>
          <w:szCs w:val="20"/>
        </w:rPr>
        <w:t>3</w:t>
      </w:r>
      <w:r w:rsidR="00D87CEF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573CD2F7" w14:textId="4902FF6A" w:rsidR="008A3AE7" w:rsidRPr="00B80498" w:rsidRDefault="00BA5D92" w:rsidP="00B80498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</w:t>
      </w:r>
      <w:r w:rsidR="008671F9">
        <w:rPr>
          <w:rFonts w:ascii="Arial" w:hAnsi="Arial" w:cs="Arial"/>
          <w:bCs/>
          <w:sz w:val="20"/>
          <w:szCs w:val="20"/>
        </w:rPr>
        <w:t>4</w:t>
      </w:r>
      <w:r w:rsidRPr="003E29F3">
        <w:rPr>
          <w:rFonts w:ascii="Arial" w:hAnsi="Arial" w:cs="Arial"/>
          <w:bCs/>
          <w:sz w:val="20"/>
          <w:szCs w:val="20"/>
        </w:rPr>
        <w:t>-24</w:t>
      </w:r>
      <w:r w:rsidR="008671F9">
        <w:rPr>
          <w:rFonts w:ascii="Arial" w:hAnsi="Arial" w:cs="Arial"/>
          <w:bCs/>
          <w:sz w:val="20"/>
          <w:szCs w:val="20"/>
        </w:rPr>
        <w:t>00180</w:t>
      </w:r>
      <w:r w:rsidRPr="008B424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“</w:t>
      </w:r>
      <w:r w:rsidR="008671F9" w:rsidRPr="008671F9">
        <w:rPr>
          <w:rFonts w:ascii="Arial" w:hAnsi="Arial" w:cs="Arial"/>
          <w:bCs/>
          <w:sz w:val="20"/>
          <w:szCs w:val="20"/>
        </w:rPr>
        <w:t>On misconception of power class fallback</w:t>
      </w:r>
      <w:r>
        <w:rPr>
          <w:rFonts w:ascii="Arial" w:hAnsi="Arial" w:cs="Arial"/>
          <w:bCs/>
          <w:sz w:val="20"/>
          <w:szCs w:val="20"/>
        </w:rPr>
        <w:t>”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8671F9">
        <w:rPr>
          <w:rFonts w:ascii="Arial" w:hAnsi="Arial" w:cs="Arial"/>
          <w:bCs/>
          <w:sz w:val="20"/>
          <w:szCs w:val="20"/>
        </w:rPr>
        <w:t>Apple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8671F9" w:rsidRPr="00CA510E">
        <w:rPr>
          <w:rFonts w:ascii="Arial" w:hAnsi="Arial" w:cs="Arial"/>
          <w:bCs/>
          <w:sz w:val="20"/>
          <w:szCs w:val="20"/>
        </w:rPr>
        <w:t>3GPP TSG RAN WG4 Meeting</w:t>
      </w:r>
      <w:r w:rsidRPr="008B4249">
        <w:rPr>
          <w:rFonts w:ascii="Arial" w:hAnsi="Arial" w:cs="Arial"/>
          <w:bCs/>
          <w:sz w:val="20"/>
          <w:szCs w:val="20"/>
        </w:rPr>
        <w:t xml:space="preserve"> #</w:t>
      </w:r>
      <w:r>
        <w:rPr>
          <w:rFonts w:ascii="Arial" w:hAnsi="Arial" w:cs="Arial"/>
          <w:bCs/>
          <w:sz w:val="20"/>
          <w:szCs w:val="20"/>
        </w:rPr>
        <w:t>1</w:t>
      </w:r>
      <w:r w:rsidR="008671F9">
        <w:rPr>
          <w:rFonts w:ascii="Arial" w:hAnsi="Arial" w:cs="Arial"/>
          <w:bCs/>
          <w:sz w:val="20"/>
          <w:szCs w:val="20"/>
        </w:rPr>
        <w:t>10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8671F9">
        <w:rPr>
          <w:rFonts w:ascii="Arial" w:hAnsi="Arial" w:cs="Arial"/>
          <w:bCs/>
          <w:sz w:val="20"/>
          <w:szCs w:val="20"/>
        </w:rPr>
        <w:t>Athens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8671F9">
        <w:rPr>
          <w:rFonts w:ascii="Arial" w:hAnsi="Arial" w:cs="Arial"/>
          <w:bCs/>
          <w:sz w:val="20"/>
          <w:szCs w:val="20"/>
        </w:rPr>
        <w:t>Greece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8671F9">
        <w:rPr>
          <w:rFonts w:ascii="Arial" w:hAnsi="Arial" w:cs="Arial"/>
          <w:bCs/>
          <w:sz w:val="20"/>
          <w:szCs w:val="20"/>
        </w:rPr>
        <w:t>February</w:t>
      </w:r>
      <w:r w:rsidRPr="008B4249">
        <w:rPr>
          <w:rFonts w:ascii="Arial" w:hAnsi="Arial" w:cs="Arial"/>
          <w:bCs/>
          <w:sz w:val="20"/>
          <w:szCs w:val="20"/>
        </w:rPr>
        <w:t xml:space="preserve"> </w:t>
      </w:r>
      <w:r w:rsidR="008671F9">
        <w:rPr>
          <w:rFonts w:ascii="Arial" w:hAnsi="Arial" w:cs="Arial"/>
          <w:bCs/>
          <w:sz w:val="20"/>
          <w:szCs w:val="20"/>
        </w:rPr>
        <w:t>26</w:t>
      </w:r>
      <w:r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8671F9">
        <w:rPr>
          <w:rFonts w:ascii="Arial" w:hAnsi="Arial" w:cs="Arial"/>
          <w:bCs/>
          <w:sz w:val="20"/>
          <w:szCs w:val="20"/>
        </w:rPr>
        <w:t>March 1</w:t>
      </w:r>
      <w:r w:rsidR="008671F9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8B4249">
        <w:rPr>
          <w:rFonts w:ascii="Arial" w:hAnsi="Arial" w:cs="Arial"/>
          <w:bCs/>
          <w:sz w:val="20"/>
          <w:szCs w:val="20"/>
        </w:rPr>
        <w:t>, 202</w:t>
      </w:r>
      <w:r>
        <w:rPr>
          <w:rFonts w:ascii="Arial" w:hAnsi="Arial" w:cs="Arial"/>
          <w:bCs/>
          <w:sz w:val="20"/>
          <w:szCs w:val="20"/>
        </w:rPr>
        <w:t>4</w:t>
      </w:r>
    </w:p>
    <w:sectPr w:rsidR="008A3AE7" w:rsidRPr="00B80498" w:rsidSect="00D975F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82AB7" w14:textId="77777777" w:rsidR="00201D78" w:rsidRDefault="00201D78">
      <w:r>
        <w:separator/>
      </w:r>
    </w:p>
  </w:endnote>
  <w:endnote w:type="continuationSeparator" w:id="0">
    <w:p w14:paraId="76BB70B9" w14:textId="77777777" w:rsidR="00201D78" w:rsidRDefault="0020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2CF1A" w14:textId="77777777" w:rsidR="00201D78" w:rsidRDefault="00201D78">
      <w:r>
        <w:separator/>
      </w:r>
    </w:p>
  </w:footnote>
  <w:footnote w:type="continuationSeparator" w:id="0">
    <w:p w14:paraId="27090D8F" w14:textId="77777777" w:rsidR="00201D78" w:rsidRDefault="00201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64DF8"/>
    <w:multiLevelType w:val="hybridMultilevel"/>
    <w:tmpl w:val="C9F2E986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3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1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6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7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5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19"/>
  </w:num>
  <w:num w:numId="24" w16cid:durableId="639112823">
    <w:abstractNumId w:val="24"/>
  </w:num>
  <w:num w:numId="25" w16cid:durableId="1758358505">
    <w:abstractNumId w:val="4"/>
  </w:num>
  <w:num w:numId="26" w16cid:durableId="2108961271">
    <w:abstractNumId w:val="28"/>
  </w:num>
  <w:num w:numId="27" w16cid:durableId="1853451127">
    <w:abstractNumId w:val="23"/>
  </w:num>
  <w:num w:numId="28" w16cid:durableId="719016014">
    <w:abstractNumId w:val="20"/>
  </w:num>
  <w:num w:numId="29" w16cid:durableId="44761965">
    <w:abstractNumId w:val="9"/>
  </w:num>
  <w:num w:numId="30" w16cid:durableId="750783015">
    <w:abstractNumId w:val="1"/>
  </w:num>
  <w:num w:numId="31" w16cid:durableId="102964199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92"/>
    <w:rsid w:val="00004765"/>
    <w:rsid w:val="00005DB5"/>
    <w:rsid w:val="0000623D"/>
    <w:rsid w:val="0001172F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88A"/>
    <w:rsid w:val="0002498B"/>
    <w:rsid w:val="00033397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7271"/>
    <w:rsid w:val="00047F47"/>
    <w:rsid w:val="00050FF1"/>
    <w:rsid w:val="00051834"/>
    <w:rsid w:val="000521A4"/>
    <w:rsid w:val="00052237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3182"/>
    <w:rsid w:val="00063B53"/>
    <w:rsid w:val="00065297"/>
    <w:rsid w:val="000655A6"/>
    <w:rsid w:val="00066C19"/>
    <w:rsid w:val="0006704A"/>
    <w:rsid w:val="0007035B"/>
    <w:rsid w:val="0007289F"/>
    <w:rsid w:val="0007513F"/>
    <w:rsid w:val="00076DD0"/>
    <w:rsid w:val="00080512"/>
    <w:rsid w:val="00080638"/>
    <w:rsid w:val="000816E4"/>
    <w:rsid w:val="0008297C"/>
    <w:rsid w:val="00084525"/>
    <w:rsid w:val="00084A90"/>
    <w:rsid w:val="00085035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50E3"/>
    <w:rsid w:val="000D57F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5476"/>
    <w:rsid w:val="000E61C4"/>
    <w:rsid w:val="000E6339"/>
    <w:rsid w:val="000E6A30"/>
    <w:rsid w:val="000E751D"/>
    <w:rsid w:val="000F3453"/>
    <w:rsid w:val="000F42FB"/>
    <w:rsid w:val="000F5EA9"/>
    <w:rsid w:val="00102958"/>
    <w:rsid w:val="001041BB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1E89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4D7A"/>
    <w:rsid w:val="00146540"/>
    <w:rsid w:val="00146BF3"/>
    <w:rsid w:val="0014707B"/>
    <w:rsid w:val="001476E2"/>
    <w:rsid w:val="001500E5"/>
    <w:rsid w:val="001507CE"/>
    <w:rsid w:val="00150FB2"/>
    <w:rsid w:val="001553DE"/>
    <w:rsid w:val="001578E2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381F"/>
    <w:rsid w:val="0017591E"/>
    <w:rsid w:val="00175D32"/>
    <w:rsid w:val="00176183"/>
    <w:rsid w:val="00177ADC"/>
    <w:rsid w:val="0018025B"/>
    <w:rsid w:val="00181118"/>
    <w:rsid w:val="0018140C"/>
    <w:rsid w:val="001815E8"/>
    <w:rsid w:val="001825F0"/>
    <w:rsid w:val="00183720"/>
    <w:rsid w:val="001841B1"/>
    <w:rsid w:val="00184AB9"/>
    <w:rsid w:val="0018540A"/>
    <w:rsid w:val="001856D4"/>
    <w:rsid w:val="00185E52"/>
    <w:rsid w:val="00191285"/>
    <w:rsid w:val="001938B6"/>
    <w:rsid w:val="00193D27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202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827"/>
    <w:rsid w:val="001D2A82"/>
    <w:rsid w:val="001D5CA8"/>
    <w:rsid w:val="001D5CFB"/>
    <w:rsid w:val="001E08B8"/>
    <w:rsid w:val="001E145D"/>
    <w:rsid w:val="001E3074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1D78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23CE"/>
    <w:rsid w:val="002129E8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5DFB"/>
    <w:rsid w:val="00247926"/>
    <w:rsid w:val="002504F0"/>
    <w:rsid w:val="00256995"/>
    <w:rsid w:val="00257410"/>
    <w:rsid w:val="002608DE"/>
    <w:rsid w:val="00261B7C"/>
    <w:rsid w:val="002627B4"/>
    <w:rsid w:val="002637C2"/>
    <w:rsid w:val="0026424E"/>
    <w:rsid w:val="0026644D"/>
    <w:rsid w:val="00266DC0"/>
    <w:rsid w:val="002675F0"/>
    <w:rsid w:val="00271B31"/>
    <w:rsid w:val="00271FFB"/>
    <w:rsid w:val="002726BC"/>
    <w:rsid w:val="00274A90"/>
    <w:rsid w:val="00275D60"/>
    <w:rsid w:val="00276C70"/>
    <w:rsid w:val="00276EE4"/>
    <w:rsid w:val="00277172"/>
    <w:rsid w:val="00277585"/>
    <w:rsid w:val="00277626"/>
    <w:rsid w:val="0028039F"/>
    <w:rsid w:val="0028051A"/>
    <w:rsid w:val="0028193A"/>
    <w:rsid w:val="00284236"/>
    <w:rsid w:val="0028485D"/>
    <w:rsid w:val="00286917"/>
    <w:rsid w:val="0029079A"/>
    <w:rsid w:val="00291A2A"/>
    <w:rsid w:val="00295527"/>
    <w:rsid w:val="00296065"/>
    <w:rsid w:val="00296836"/>
    <w:rsid w:val="002A040F"/>
    <w:rsid w:val="002A07F2"/>
    <w:rsid w:val="002A195A"/>
    <w:rsid w:val="002A2A03"/>
    <w:rsid w:val="002A460E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E78D0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177CF"/>
    <w:rsid w:val="00322C5B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44178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2AD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270B"/>
    <w:rsid w:val="003B2900"/>
    <w:rsid w:val="003B308D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424"/>
    <w:rsid w:val="003E7753"/>
    <w:rsid w:val="003E7ED9"/>
    <w:rsid w:val="003F06C8"/>
    <w:rsid w:val="003F07FB"/>
    <w:rsid w:val="003F0B00"/>
    <w:rsid w:val="003F0C6B"/>
    <w:rsid w:val="003F1DE5"/>
    <w:rsid w:val="003F275D"/>
    <w:rsid w:val="003F27E7"/>
    <w:rsid w:val="003F474B"/>
    <w:rsid w:val="003F6ACE"/>
    <w:rsid w:val="003F6B7C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2A52"/>
    <w:rsid w:val="00403FF3"/>
    <w:rsid w:val="0040569B"/>
    <w:rsid w:val="0040649B"/>
    <w:rsid w:val="00407E20"/>
    <w:rsid w:val="00415661"/>
    <w:rsid w:val="004166A1"/>
    <w:rsid w:val="00416A76"/>
    <w:rsid w:val="00416DC9"/>
    <w:rsid w:val="0041733B"/>
    <w:rsid w:val="00417EA8"/>
    <w:rsid w:val="00420E7C"/>
    <w:rsid w:val="00420FB8"/>
    <w:rsid w:val="00423334"/>
    <w:rsid w:val="00426737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2C4E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3A70"/>
    <w:rsid w:val="00495736"/>
    <w:rsid w:val="00496BA8"/>
    <w:rsid w:val="004A1B75"/>
    <w:rsid w:val="004A1C51"/>
    <w:rsid w:val="004A3D27"/>
    <w:rsid w:val="004A48FA"/>
    <w:rsid w:val="004A5136"/>
    <w:rsid w:val="004A5DB3"/>
    <w:rsid w:val="004A615E"/>
    <w:rsid w:val="004A6E04"/>
    <w:rsid w:val="004B3447"/>
    <w:rsid w:val="004B4E61"/>
    <w:rsid w:val="004B5861"/>
    <w:rsid w:val="004B5C7F"/>
    <w:rsid w:val="004C0E4C"/>
    <w:rsid w:val="004C15E6"/>
    <w:rsid w:val="004C1601"/>
    <w:rsid w:val="004C1615"/>
    <w:rsid w:val="004C2676"/>
    <w:rsid w:val="004C2761"/>
    <w:rsid w:val="004C6022"/>
    <w:rsid w:val="004C6974"/>
    <w:rsid w:val="004C72F9"/>
    <w:rsid w:val="004C7C52"/>
    <w:rsid w:val="004D0905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79A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162A"/>
    <w:rsid w:val="005020C8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115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4DDE"/>
    <w:rsid w:val="00556D61"/>
    <w:rsid w:val="00560892"/>
    <w:rsid w:val="00562F7C"/>
    <w:rsid w:val="00563714"/>
    <w:rsid w:val="00565087"/>
    <w:rsid w:val="00565648"/>
    <w:rsid w:val="00567534"/>
    <w:rsid w:val="005710B2"/>
    <w:rsid w:val="00572E14"/>
    <w:rsid w:val="00572E94"/>
    <w:rsid w:val="0057381A"/>
    <w:rsid w:val="00575133"/>
    <w:rsid w:val="00575F68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6836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254"/>
    <w:rsid w:val="005D2BC8"/>
    <w:rsid w:val="005D2E01"/>
    <w:rsid w:val="005D4FFE"/>
    <w:rsid w:val="005D5C72"/>
    <w:rsid w:val="005D7526"/>
    <w:rsid w:val="005E1A8B"/>
    <w:rsid w:val="005E2982"/>
    <w:rsid w:val="005E318B"/>
    <w:rsid w:val="005E5A28"/>
    <w:rsid w:val="005E6516"/>
    <w:rsid w:val="005E66AC"/>
    <w:rsid w:val="005E69AE"/>
    <w:rsid w:val="005E71D6"/>
    <w:rsid w:val="005E7D87"/>
    <w:rsid w:val="005F23E7"/>
    <w:rsid w:val="005F28DB"/>
    <w:rsid w:val="005F381B"/>
    <w:rsid w:val="005F393C"/>
    <w:rsid w:val="005F39D5"/>
    <w:rsid w:val="005F7052"/>
    <w:rsid w:val="006007C7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16A61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0C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4EC4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4578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2398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1A3"/>
    <w:rsid w:val="006D5410"/>
    <w:rsid w:val="006D633B"/>
    <w:rsid w:val="006D7B72"/>
    <w:rsid w:val="006E1ABB"/>
    <w:rsid w:val="006E5A69"/>
    <w:rsid w:val="006E5C86"/>
    <w:rsid w:val="006F137C"/>
    <w:rsid w:val="006F2FB2"/>
    <w:rsid w:val="006F4A2D"/>
    <w:rsid w:val="006F5C12"/>
    <w:rsid w:val="006F5CB7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5FCD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169"/>
    <w:rsid w:val="00776634"/>
    <w:rsid w:val="00776849"/>
    <w:rsid w:val="00777975"/>
    <w:rsid w:val="007809E5"/>
    <w:rsid w:val="00781F0F"/>
    <w:rsid w:val="007833DA"/>
    <w:rsid w:val="00787683"/>
    <w:rsid w:val="00790B2B"/>
    <w:rsid w:val="007921F5"/>
    <w:rsid w:val="00792E76"/>
    <w:rsid w:val="0079544F"/>
    <w:rsid w:val="007955FC"/>
    <w:rsid w:val="007A0404"/>
    <w:rsid w:val="007A1885"/>
    <w:rsid w:val="007A57AC"/>
    <w:rsid w:val="007A6283"/>
    <w:rsid w:val="007A7C22"/>
    <w:rsid w:val="007A7EA5"/>
    <w:rsid w:val="007B500E"/>
    <w:rsid w:val="007B600E"/>
    <w:rsid w:val="007B6162"/>
    <w:rsid w:val="007C1349"/>
    <w:rsid w:val="007C1C86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09BC"/>
    <w:rsid w:val="00811DA5"/>
    <w:rsid w:val="00814317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481A"/>
    <w:rsid w:val="008353A8"/>
    <w:rsid w:val="0083755B"/>
    <w:rsid w:val="00840DCA"/>
    <w:rsid w:val="008454C5"/>
    <w:rsid w:val="00850AF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1F9"/>
    <w:rsid w:val="008677DA"/>
    <w:rsid w:val="00870EB0"/>
    <w:rsid w:val="0087165C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95D"/>
    <w:rsid w:val="00887BEA"/>
    <w:rsid w:val="0089062C"/>
    <w:rsid w:val="0089137B"/>
    <w:rsid w:val="00893E1A"/>
    <w:rsid w:val="00894406"/>
    <w:rsid w:val="00895E23"/>
    <w:rsid w:val="008979DE"/>
    <w:rsid w:val="008A07D9"/>
    <w:rsid w:val="008A3527"/>
    <w:rsid w:val="008A3AE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078F2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5CD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87627"/>
    <w:rsid w:val="00987E57"/>
    <w:rsid w:val="00991963"/>
    <w:rsid w:val="0099295E"/>
    <w:rsid w:val="009929FF"/>
    <w:rsid w:val="00993A88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4165"/>
    <w:rsid w:val="009B51F8"/>
    <w:rsid w:val="009B6177"/>
    <w:rsid w:val="009C0F0C"/>
    <w:rsid w:val="009C2313"/>
    <w:rsid w:val="009C327F"/>
    <w:rsid w:val="009C3639"/>
    <w:rsid w:val="009C39CA"/>
    <w:rsid w:val="009C4F99"/>
    <w:rsid w:val="009C58C3"/>
    <w:rsid w:val="009C5F8E"/>
    <w:rsid w:val="009C66C6"/>
    <w:rsid w:val="009C6D92"/>
    <w:rsid w:val="009D2B95"/>
    <w:rsid w:val="009D4870"/>
    <w:rsid w:val="009D528F"/>
    <w:rsid w:val="009D6C9C"/>
    <w:rsid w:val="009E21E8"/>
    <w:rsid w:val="009E23D5"/>
    <w:rsid w:val="009E342E"/>
    <w:rsid w:val="009E447F"/>
    <w:rsid w:val="009E5073"/>
    <w:rsid w:val="009E5E7E"/>
    <w:rsid w:val="009E643A"/>
    <w:rsid w:val="009E7DA3"/>
    <w:rsid w:val="009F2575"/>
    <w:rsid w:val="009F37B7"/>
    <w:rsid w:val="009F5433"/>
    <w:rsid w:val="009F5E43"/>
    <w:rsid w:val="009F7AAA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41830"/>
    <w:rsid w:val="00A41BE4"/>
    <w:rsid w:val="00A50E60"/>
    <w:rsid w:val="00A517B0"/>
    <w:rsid w:val="00A51810"/>
    <w:rsid w:val="00A52486"/>
    <w:rsid w:val="00A53724"/>
    <w:rsid w:val="00A542F7"/>
    <w:rsid w:val="00A5609E"/>
    <w:rsid w:val="00A6250D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C7965"/>
    <w:rsid w:val="00AD093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BD4"/>
    <w:rsid w:val="00B037D2"/>
    <w:rsid w:val="00B03E8E"/>
    <w:rsid w:val="00B04308"/>
    <w:rsid w:val="00B067E0"/>
    <w:rsid w:val="00B10B01"/>
    <w:rsid w:val="00B128FD"/>
    <w:rsid w:val="00B12B07"/>
    <w:rsid w:val="00B1390A"/>
    <w:rsid w:val="00B13E20"/>
    <w:rsid w:val="00B1431A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F81"/>
    <w:rsid w:val="00B45F97"/>
    <w:rsid w:val="00B471EA"/>
    <w:rsid w:val="00B50264"/>
    <w:rsid w:val="00B50471"/>
    <w:rsid w:val="00B504F7"/>
    <w:rsid w:val="00B5178A"/>
    <w:rsid w:val="00B51CDC"/>
    <w:rsid w:val="00B5302C"/>
    <w:rsid w:val="00B53697"/>
    <w:rsid w:val="00B54007"/>
    <w:rsid w:val="00B55583"/>
    <w:rsid w:val="00B56C27"/>
    <w:rsid w:val="00B6070A"/>
    <w:rsid w:val="00B646A5"/>
    <w:rsid w:val="00B65A49"/>
    <w:rsid w:val="00B72AF3"/>
    <w:rsid w:val="00B76FBB"/>
    <w:rsid w:val="00B77BF2"/>
    <w:rsid w:val="00B80498"/>
    <w:rsid w:val="00B804A1"/>
    <w:rsid w:val="00B863E2"/>
    <w:rsid w:val="00B9016C"/>
    <w:rsid w:val="00B92829"/>
    <w:rsid w:val="00B92FE4"/>
    <w:rsid w:val="00B93086"/>
    <w:rsid w:val="00B935F2"/>
    <w:rsid w:val="00B94A95"/>
    <w:rsid w:val="00B962C7"/>
    <w:rsid w:val="00B9657C"/>
    <w:rsid w:val="00BA19ED"/>
    <w:rsid w:val="00BA2585"/>
    <w:rsid w:val="00BA299D"/>
    <w:rsid w:val="00BA2A3F"/>
    <w:rsid w:val="00BA300B"/>
    <w:rsid w:val="00BA3C49"/>
    <w:rsid w:val="00BA4767"/>
    <w:rsid w:val="00BA4B8D"/>
    <w:rsid w:val="00BA50B0"/>
    <w:rsid w:val="00BA5D92"/>
    <w:rsid w:val="00BA5F24"/>
    <w:rsid w:val="00BB661C"/>
    <w:rsid w:val="00BB7442"/>
    <w:rsid w:val="00BC0F7D"/>
    <w:rsid w:val="00BC179E"/>
    <w:rsid w:val="00BC201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28A6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2EB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574"/>
    <w:rsid w:val="00BF692E"/>
    <w:rsid w:val="00BF6CE4"/>
    <w:rsid w:val="00BF7943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77A"/>
    <w:rsid w:val="00C079CE"/>
    <w:rsid w:val="00C12D2F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4751A"/>
    <w:rsid w:val="00C5093D"/>
    <w:rsid w:val="00C50995"/>
    <w:rsid w:val="00C509CE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378E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30E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E0B91"/>
    <w:rsid w:val="00CE1748"/>
    <w:rsid w:val="00CE1B41"/>
    <w:rsid w:val="00CE1D47"/>
    <w:rsid w:val="00CE2F48"/>
    <w:rsid w:val="00CE4FD5"/>
    <w:rsid w:val="00CE608B"/>
    <w:rsid w:val="00CE6614"/>
    <w:rsid w:val="00CE6DD7"/>
    <w:rsid w:val="00CF054E"/>
    <w:rsid w:val="00CF1C1E"/>
    <w:rsid w:val="00CF20E3"/>
    <w:rsid w:val="00CF30A9"/>
    <w:rsid w:val="00CF3841"/>
    <w:rsid w:val="00CF620C"/>
    <w:rsid w:val="00CF65B5"/>
    <w:rsid w:val="00D00BA3"/>
    <w:rsid w:val="00D02D5A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C"/>
    <w:rsid w:val="00D309CC"/>
    <w:rsid w:val="00D32320"/>
    <w:rsid w:val="00D324F9"/>
    <w:rsid w:val="00D33957"/>
    <w:rsid w:val="00D35FEF"/>
    <w:rsid w:val="00D4156E"/>
    <w:rsid w:val="00D41D01"/>
    <w:rsid w:val="00D438FA"/>
    <w:rsid w:val="00D4587A"/>
    <w:rsid w:val="00D463D6"/>
    <w:rsid w:val="00D46431"/>
    <w:rsid w:val="00D46607"/>
    <w:rsid w:val="00D47831"/>
    <w:rsid w:val="00D50166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4C9"/>
    <w:rsid w:val="00D71786"/>
    <w:rsid w:val="00D725F4"/>
    <w:rsid w:val="00D73555"/>
    <w:rsid w:val="00D738D6"/>
    <w:rsid w:val="00D74B53"/>
    <w:rsid w:val="00D74E7B"/>
    <w:rsid w:val="00D750DD"/>
    <w:rsid w:val="00D755EB"/>
    <w:rsid w:val="00D80235"/>
    <w:rsid w:val="00D8086A"/>
    <w:rsid w:val="00D81B4C"/>
    <w:rsid w:val="00D822AE"/>
    <w:rsid w:val="00D83D56"/>
    <w:rsid w:val="00D84D58"/>
    <w:rsid w:val="00D8507E"/>
    <w:rsid w:val="00D87CEF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3B10"/>
    <w:rsid w:val="00DA3C0D"/>
    <w:rsid w:val="00DA4E3C"/>
    <w:rsid w:val="00DA7A03"/>
    <w:rsid w:val="00DB06CF"/>
    <w:rsid w:val="00DB0BC8"/>
    <w:rsid w:val="00DB1818"/>
    <w:rsid w:val="00DB26B1"/>
    <w:rsid w:val="00DB349A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8CA"/>
    <w:rsid w:val="00DD4C17"/>
    <w:rsid w:val="00DD4D52"/>
    <w:rsid w:val="00DD5B2B"/>
    <w:rsid w:val="00DD6E9C"/>
    <w:rsid w:val="00DD7FAC"/>
    <w:rsid w:val="00DE0297"/>
    <w:rsid w:val="00DE0507"/>
    <w:rsid w:val="00DE0987"/>
    <w:rsid w:val="00DE1BDE"/>
    <w:rsid w:val="00DE227C"/>
    <w:rsid w:val="00DE4574"/>
    <w:rsid w:val="00DE55C3"/>
    <w:rsid w:val="00DE69C6"/>
    <w:rsid w:val="00DE7AA0"/>
    <w:rsid w:val="00DF02BA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3AA2"/>
    <w:rsid w:val="00E0431F"/>
    <w:rsid w:val="00E05ABC"/>
    <w:rsid w:val="00E06316"/>
    <w:rsid w:val="00E07A70"/>
    <w:rsid w:val="00E07AA3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6A3C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ABE"/>
    <w:rsid w:val="00E73578"/>
    <w:rsid w:val="00E74333"/>
    <w:rsid w:val="00E74B5D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97F1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F16"/>
    <w:rsid w:val="00EC54B2"/>
    <w:rsid w:val="00EC55DC"/>
    <w:rsid w:val="00EC6AC3"/>
    <w:rsid w:val="00EC7246"/>
    <w:rsid w:val="00ED4A60"/>
    <w:rsid w:val="00ED729A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9CF"/>
    <w:rsid w:val="00F17BC7"/>
    <w:rsid w:val="00F200BB"/>
    <w:rsid w:val="00F21311"/>
    <w:rsid w:val="00F229FC"/>
    <w:rsid w:val="00F22EC7"/>
    <w:rsid w:val="00F25627"/>
    <w:rsid w:val="00F26D2F"/>
    <w:rsid w:val="00F32234"/>
    <w:rsid w:val="00F32507"/>
    <w:rsid w:val="00F325C8"/>
    <w:rsid w:val="00F3347C"/>
    <w:rsid w:val="00F34849"/>
    <w:rsid w:val="00F35A8C"/>
    <w:rsid w:val="00F35E69"/>
    <w:rsid w:val="00F4310F"/>
    <w:rsid w:val="00F46B7B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3B8"/>
    <w:rsid w:val="00F662C2"/>
    <w:rsid w:val="00F664DB"/>
    <w:rsid w:val="00F70628"/>
    <w:rsid w:val="00F70647"/>
    <w:rsid w:val="00F70773"/>
    <w:rsid w:val="00F71C69"/>
    <w:rsid w:val="00F722E2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9D0"/>
    <w:rsid w:val="00FA1266"/>
    <w:rsid w:val="00FA29A4"/>
    <w:rsid w:val="00FA3A4C"/>
    <w:rsid w:val="00FB03DC"/>
    <w:rsid w:val="00FB133A"/>
    <w:rsid w:val="00FB4DCE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3F5B"/>
    <w:rsid w:val="00FD432B"/>
    <w:rsid w:val="00FD4920"/>
    <w:rsid w:val="00FD63FE"/>
    <w:rsid w:val="00FD6763"/>
    <w:rsid w:val="00FD67F0"/>
    <w:rsid w:val="00FD72EF"/>
    <w:rsid w:val="00FE14B1"/>
    <w:rsid w:val="00FE4C2D"/>
    <w:rsid w:val="00FE5058"/>
    <w:rsid w:val="00FE7684"/>
    <w:rsid w:val="00FF12D1"/>
    <w:rsid w:val="00FF135C"/>
    <w:rsid w:val="00FF187D"/>
    <w:rsid w:val="00FF2138"/>
    <w:rsid w:val="00FF27B3"/>
    <w:rsid w:val="00FF6732"/>
    <w:rsid w:val="00FF6BE4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4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2024-10-04T18:05:00Z</dcterms:created>
  <dcterms:modified xsi:type="dcterms:W3CDTF">2024-10-04T18:05:00Z</dcterms:modified>
  <cp:category/>
</cp:coreProperties>
</file>